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EE4A5" w14:textId="77777777" w:rsidR="003B55CE" w:rsidRPr="00CA54BC" w:rsidRDefault="003B55CE" w:rsidP="004946CA">
      <w:pPr>
        <w:spacing w:line="360" w:lineRule="auto"/>
        <w:rPr>
          <w:rFonts w:ascii="Times New Roman" w:hAnsi="Times New Roman" w:cs="Times New Roman"/>
          <w:b/>
        </w:rPr>
      </w:pPr>
      <w:r w:rsidRPr="00CA54BC">
        <w:rPr>
          <w:rFonts w:ascii="Times New Roman" w:hAnsi="Times New Roman" w:cs="Times New Roman"/>
          <w:b/>
        </w:rPr>
        <w:t>NWSF Project: #19-004-01</w:t>
      </w:r>
    </w:p>
    <w:p w14:paraId="46E662D6"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Ringed Seal Health Study in Iqaluit, NU</w:t>
      </w:r>
    </w:p>
    <w:p w14:paraId="0F6A7DDE"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Enooyaq Sudlovenick</w:t>
      </w:r>
    </w:p>
    <w:p w14:paraId="036B6420"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226-343-3666</w:t>
      </w:r>
    </w:p>
    <w:p w14:paraId="49ECD520"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esudlovenick@upei.ca</w:t>
      </w:r>
    </w:p>
    <w:p w14:paraId="1DB8FAA1" w14:textId="77777777" w:rsidR="002513D3" w:rsidRPr="00CA54BC" w:rsidRDefault="002513D3" w:rsidP="004946CA">
      <w:pPr>
        <w:spacing w:line="360" w:lineRule="auto"/>
        <w:rPr>
          <w:rFonts w:ascii="Times New Roman" w:hAnsi="Times New Roman" w:cs="Times New Roman"/>
        </w:rPr>
      </w:pPr>
    </w:p>
    <w:p w14:paraId="04D9A87A" w14:textId="08CFCB85" w:rsidR="007004D2" w:rsidRPr="00CA54BC" w:rsidRDefault="00BC7369" w:rsidP="004946CA">
      <w:pPr>
        <w:spacing w:line="360" w:lineRule="auto"/>
        <w:rPr>
          <w:rFonts w:ascii="Times New Roman" w:hAnsi="Times New Roman" w:cs="Times New Roman"/>
          <w:b/>
          <w:u w:val="single"/>
        </w:rPr>
      </w:pPr>
      <w:r w:rsidRPr="00CA54BC">
        <w:rPr>
          <w:rFonts w:ascii="Times New Roman" w:hAnsi="Times New Roman" w:cs="Times New Roman"/>
          <w:b/>
          <w:u w:val="single"/>
        </w:rPr>
        <w:t>Final Report:</w:t>
      </w:r>
      <w:r w:rsidR="003B55CE" w:rsidRPr="00CA54BC">
        <w:rPr>
          <w:rFonts w:ascii="Times New Roman" w:hAnsi="Times New Roman" w:cs="Times New Roman"/>
          <w:b/>
          <w:u w:val="single"/>
        </w:rPr>
        <w:t xml:space="preserve"> Ringed Seal Health Study in Iqaluit, NU</w:t>
      </w:r>
    </w:p>
    <w:p w14:paraId="3857A448" w14:textId="6E465112" w:rsidR="007004D2" w:rsidRPr="00CA54BC" w:rsidRDefault="0046426B" w:rsidP="004946CA">
      <w:pPr>
        <w:spacing w:line="360" w:lineRule="auto"/>
        <w:rPr>
          <w:rFonts w:ascii="Times New Roman" w:hAnsi="Times New Roman" w:cs="Times New Roman"/>
        </w:rPr>
      </w:pPr>
      <w:r w:rsidRPr="00CA54BC">
        <w:rPr>
          <w:rFonts w:ascii="Times New Roman" w:hAnsi="Times New Roman" w:cs="Times New Roman"/>
        </w:rPr>
        <w:tab/>
        <w:t xml:space="preserve">This project </w:t>
      </w:r>
      <w:r w:rsidR="00BC7369" w:rsidRPr="00CA54BC">
        <w:rPr>
          <w:rFonts w:ascii="Times New Roman" w:hAnsi="Times New Roman" w:cs="Times New Roman"/>
        </w:rPr>
        <w:t>has been completed.</w:t>
      </w:r>
      <w:r w:rsidRPr="00CA54BC">
        <w:rPr>
          <w:rFonts w:ascii="Times New Roman" w:hAnsi="Times New Roman" w:cs="Times New Roman"/>
        </w:rPr>
        <w:t xml:space="preserve"> All samples and I</w:t>
      </w:r>
      <w:r w:rsidR="00FE0236" w:rsidRPr="00CA54BC">
        <w:rPr>
          <w:rFonts w:ascii="Times New Roman" w:hAnsi="Times New Roman" w:cs="Times New Roman"/>
        </w:rPr>
        <w:t xml:space="preserve">nuit </w:t>
      </w:r>
      <w:r w:rsidRPr="00CA54BC">
        <w:rPr>
          <w:rFonts w:ascii="Times New Roman" w:hAnsi="Times New Roman" w:cs="Times New Roman"/>
        </w:rPr>
        <w:t>Q</w:t>
      </w:r>
      <w:r w:rsidR="00290B7E" w:rsidRPr="00CA54BC">
        <w:rPr>
          <w:rFonts w:ascii="Times New Roman" w:hAnsi="Times New Roman" w:cs="Times New Roman"/>
        </w:rPr>
        <w:t>aujimaj</w:t>
      </w:r>
      <w:r w:rsidR="00FE0236" w:rsidRPr="00CA54BC">
        <w:rPr>
          <w:rFonts w:ascii="Times New Roman" w:hAnsi="Times New Roman" w:cs="Times New Roman"/>
        </w:rPr>
        <w:t>atuqangit</w:t>
      </w:r>
      <w:r w:rsidRPr="00CA54BC">
        <w:rPr>
          <w:rFonts w:ascii="Times New Roman" w:hAnsi="Times New Roman" w:cs="Times New Roman"/>
        </w:rPr>
        <w:t xml:space="preserve"> interviews have been conducted. </w:t>
      </w:r>
      <w:r w:rsidR="00BC7369" w:rsidRPr="00CA54BC">
        <w:rPr>
          <w:rFonts w:ascii="Times New Roman" w:hAnsi="Times New Roman" w:cs="Times New Roman"/>
        </w:rPr>
        <w:t xml:space="preserve">All </w:t>
      </w:r>
      <w:r w:rsidRPr="00CA54BC">
        <w:rPr>
          <w:rFonts w:ascii="Times New Roman" w:hAnsi="Times New Roman" w:cs="Times New Roman"/>
        </w:rPr>
        <w:t xml:space="preserve">sample analyses </w:t>
      </w:r>
      <w:r w:rsidR="00FE0236" w:rsidRPr="00CA54BC">
        <w:rPr>
          <w:rFonts w:ascii="Times New Roman" w:hAnsi="Times New Roman" w:cs="Times New Roman"/>
        </w:rPr>
        <w:t>of Ringed Sea</w:t>
      </w:r>
      <w:r w:rsidR="00BC7369" w:rsidRPr="00CA54BC">
        <w:rPr>
          <w:rFonts w:ascii="Times New Roman" w:hAnsi="Times New Roman" w:cs="Times New Roman"/>
        </w:rPr>
        <w:t xml:space="preserve">l tissues have returned, and analyzed, and the thesis </w:t>
      </w:r>
      <w:proofErr w:type="spellStart"/>
      <w:r w:rsidR="00BC7369" w:rsidRPr="00CA54BC">
        <w:rPr>
          <w:rFonts w:ascii="Times New Roman" w:hAnsi="Times New Roman" w:cs="Times New Roman"/>
        </w:rPr>
        <w:t>defence</w:t>
      </w:r>
      <w:proofErr w:type="spellEnd"/>
      <w:r w:rsidR="00BC7369" w:rsidRPr="00CA54BC">
        <w:rPr>
          <w:rFonts w:ascii="Times New Roman" w:hAnsi="Times New Roman" w:cs="Times New Roman"/>
        </w:rPr>
        <w:t xml:space="preserve"> associated with the project has been completed.</w:t>
      </w:r>
    </w:p>
    <w:p w14:paraId="5913E584" w14:textId="6FF486C8" w:rsidR="0046426B" w:rsidRPr="00CA54BC" w:rsidRDefault="0046426B" w:rsidP="004946CA">
      <w:pPr>
        <w:spacing w:line="360" w:lineRule="auto"/>
        <w:rPr>
          <w:rFonts w:ascii="Times New Roman" w:hAnsi="Times New Roman" w:cs="Times New Roman"/>
        </w:rPr>
      </w:pPr>
      <w:r w:rsidRPr="00CA54BC">
        <w:rPr>
          <w:rFonts w:ascii="Times New Roman" w:hAnsi="Times New Roman" w:cs="Times New Roman"/>
        </w:rPr>
        <w:tab/>
        <w:t xml:space="preserve">The project was </w:t>
      </w:r>
      <w:r w:rsidR="00FE0236" w:rsidRPr="00CA54BC">
        <w:rPr>
          <w:rFonts w:ascii="Times New Roman" w:hAnsi="Times New Roman" w:cs="Times New Roman"/>
        </w:rPr>
        <w:t>well received</w:t>
      </w:r>
      <w:r w:rsidRPr="00CA54BC">
        <w:rPr>
          <w:rFonts w:ascii="Times New Roman" w:hAnsi="Times New Roman" w:cs="Times New Roman"/>
        </w:rPr>
        <w:t xml:space="preserve"> during the sample-collection phases. Hunters and community members appeared interested and </w:t>
      </w:r>
      <w:r w:rsidR="00FE0236" w:rsidRPr="00CA54BC">
        <w:rPr>
          <w:rFonts w:ascii="Times New Roman" w:hAnsi="Times New Roman" w:cs="Times New Roman"/>
        </w:rPr>
        <w:t>eagerly await</w:t>
      </w:r>
      <w:r w:rsidRPr="00CA54BC">
        <w:rPr>
          <w:rFonts w:ascii="Times New Roman" w:hAnsi="Times New Roman" w:cs="Times New Roman"/>
        </w:rPr>
        <w:t xml:space="preserve"> </w:t>
      </w:r>
      <w:r w:rsidR="00FE0236" w:rsidRPr="00CA54BC">
        <w:rPr>
          <w:rFonts w:ascii="Times New Roman" w:hAnsi="Times New Roman" w:cs="Times New Roman"/>
        </w:rPr>
        <w:t xml:space="preserve">the </w:t>
      </w:r>
      <w:r w:rsidRPr="00CA54BC">
        <w:rPr>
          <w:rFonts w:ascii="Times New Roman" w:hAnsi="Times New Roman" w:cs="Times New Roman"/>
        </w:rPr>
        <w:t>results.</w:t>
      </w:r>
    </w:p>
    <w:p w14:paraId="4D77100B" w14:textId="77777777" w:rsidR="0046426B" w:rsidRPr="00CA54BC" w:rsidRDefault="0046426B" w:rsidP="004946CA">
      <w:pPr>
        <w:spacing w:line="360" w:lineRule="auto"/>
        <w:rPr>
          <w:rFonts w:ascii="Times New Roman" w:hAnsi="Times New Roman" w:cs="Times New Roman"/>
        </w:rPr>
      </w:pPr>
    </w:p>
    <w:p w14:paraId="7EF43333" w14:textId="12E3879E" w:rsidR="007004D2" w:rsidRPr="00CA54BC" w:rsidRDefault="007004D2" w:rsidP="004946CA">
      <w:pPr>
        <w:spacing w:line="360" w:lineRule="auto"/>
        <w:rPr>
          <w:rFonts w:ascii="Times New Roman" w:hAnsi="Times New Roman" w:cs="Times New Roman"/>
        </w:rPr>
      </w:pPr>
      <w:r w:rsidRPr="00CA54BC">
        <w:rPr>
          <w:rFonts w:ascii="Times New Roman" w:hAnsi="Times New Roman" w:cs="Times New Roman"/>
          <w:b/>
          <w:i/>
        </w:rPr>
        <w:t>Project objectives</w:t>
      </w:r>
      <w:r w:rsidR="0046426B" w:rsidRPr="00CA54BC">
        <w:rPr>
          <w:rFonts w:ascii="Times New Roman" w:hAnsi="Times New Roman" w:cs="Times New Roman"/>
          <w:b/>
          <w:i/>
        </w:rPr>
        <w:t>:</w:t>
      </w:r>
      <w:r w:rsidR="0046426B" w:rsidRPr="00CA54BC">
        <w:rPr>
          <w:rFonts w:ascii="Times New Roman" w:hAnsi="Times New Roman" w:cs="Times New Roman"/>
          <w:i/>
        </w:rPr>
        <w:t xml:space="preserve"> </w:t>
      </w:r>
      <w:r w:rsidR="0046426B" w:rsidRPr="00CA54BC">
        <w:rPr>
          <w:rFonts w:ascii="Times New Roman" w:hAnsi="Times New Roman" w:cs="Times New Roman"/>
        </w:rPr>
        <w:t>Project objectives have not changed.  Enough samples were obtained to address all questions including 1) identify concerns of community members related to Ringed Seal Health, 2) Determine levels of heavy metals in muscle and liver tissue, and 3)</w:t>
      </w:r>
      <w:r w:rsidR="00FE0236" w:rsidRPr="00CA54BC">
        <w:rPr>
          <w:rFonts w:ascii="Times New Roman" w:hAnsi="Times New Roman" w:cs="Times New Roman"/>
        </w:rPr>
        <w:t xml:space="preserve"> </w:t>
      </w:r>
      <w:r w:rsidR="0046426B" w:rsidRPr="00CA54BC">
        <w:rPr>
          <w:rFonts w:ascii="Times New Roman" w:hAnsi="Times New Roman" w:cs="Times New Roman"/>
        </w:rPr>
        <w:t>Determine level of exposure to 5 different pathogens.</w:t>
      </w:r>
    </w:p>
    <w:p w14:paraId="06B5E72C" w14:textId="5D8AFEA3" w:rsidR="00963215" w:rsidRPr="00CA54BC" w:rsidRDefault="007004D2" w:rsidP="004946CA">
      <w:pPr>
        <w:spacing w:line="360" w:lineRule="auto"/>
        <w:rPr>
          <w:rFonts w:ascii="Times New Roman" w:hAnsi="Times New Roman" w:cs="Times New Roman"/>
        </w:rPr>
      </w:pPr>
      <w:r w:rsidRPr="00CA54BC">
        <w:rPr>
          <w:rFonts w:ascii="Times New Roman" w:hAnsi="Times New Roman" w:cs="Times New Roman"/>
        </w:rPr>
        <w:tab/>
      </w:r>
    </w:p>
    <w:p w14:paraId="6702F620" w14:textId="17937C1E" w:rsidR="007004D2" w:rsidRPr="00CA54BC" w:rsidRDefault="007004D2" w:rsidP="004946CA">
      <w:pPr>
        <w:spacing w:line="360" w:lineRule="auto"/>
        <w:rPr>
          <w:rFonts w:ascii="Times New Roman" w:hAnsi="Times New Roman" w:cs="Times New Roman"/>
        </w:rPr>
      </w:pPr>
      <w:r w:rsidRPr="00CA54BC">
        <w:rPr>
          <w:rFonts w:ascii="Times New Roman" w:hAnsi="Times New Roman" w:cs="Times New Roman"/>
          <w:b/>
          <w:i/>
        </w:rPr>
        <w:t>Materials and Methods</w:t>
      </w:r>
      <w:r w:rsidR="0046426B" w:rsidRPr="00CA54BC">
        <w:rPr>
          <w:rFonts w:ascii="Times New Roman" w:hAnsi="Times New Roman" w:cs="Times New Roman"/>
          <w:b/>
          <w:i/>
        </w:rPr>
        <w:t xml:space="preserve">: </w:t>
      </w:r>
    </w:p>
    <w:p w14:paraId="39717A4B" w14:textId="77777777" w:rsidR="007004D2" w:rsidRPr="00CA54BC" w:rsidRDefault="007004D2" w:rsidP="004946CA">
      <w:pPr>
        <w:spacing w:line="360" w:lineRule="auto"/>
        <w:rPr>
          <w:rFonts w:ascii="Times New Roman" w:hAnsi="Times New Roman" w:cs="Times New Roman"/>
          <w:i/>
        </w:rPr>
      </w:pPr>
    </w:p>
    <w:p w14:paraId="32D2D372"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i/>
          <w:iCs/>
          <w:color w:val="000000"/>
          <w:u w:val="single"/>
          <w:lang w:val="en-GB"/>
        </w:rPr>
        <w:t>Inuit Qaujimajatuqangit</w:t>
      </w:r>
    </w:p>
    <w:p w14:paraId="5D0691C2" w14:textId="77777777" w:rsidR="00BC7369" w:rsidRPr="00CA54BC" w:rsidRDefault="00BC7369" w:rsidP="004946CA">
      <w:pPr>
        <w:spacing w:line="360" w:lineRule="auto"/>
        <w:ind w:firstLine="720"/>
        <w:rPr>
          <w:rFonts w:ascii="Times New Roman" w:hAnsi="Times New Roman" w:cs="Times New Roman"/>
          <w:sz w:val="20"/>
          <w:szCs w:val="20"/>
          <w:lang w:val="en-GB"/>
        </w:rPr>
      </w:pPr>
      <w:r w:rsidRPr="00CA54BC">
        <w:rPr>
          <w:rFonts w:ascii="Times New Roman" w:hAnsi="Times New Roman" w:cs="Times New Roman"/>
          <w:color w:val="000000"/>
          <w:lang w:val="en-GB"/>
        </w:rPr>
        <w:t xml:space="preserve">Semi-structured interviews were conducted with nine Local Knowledge holders (LKH). LKH were classified as Inuit or life-long residents of Nunavut who are actively hunting and have specific knowledge with regards to nattiit within Frobisher Bay, as well as hunting and preparation of country foods. LKH were selected based on their knowledge and experience with nattiit within Frobisher Bay by a community knowledge referral system where participants identified other individuals based on their local expertise and involvement in local hunting/land programs. These individuals were also active hunters and experienced in seal skin preparations.       </w:t>
      </w:r>
      <w:r w:rsidRPr="00CA54BC">
        <w:rPr>
          <w:rFonts w:ascii="Times New Roman" w:hAnsi="Times New Roman" w:cs="Times New Roman"/>
          <w:color w:val="000000"/>
          <w:lang w:val="en-GB"/>
        </w:rPr>
        <w:tab/>
      </w:r>
    </w:p>
    <w:p w14:paraId="43ECB178" w14:textId="6F5FD0DA" w:rsidR="00BC7369" w:rsidRPr="00CA54BC" w:rsidRDefault="00BC7369" w:rsidP="004946CA">
      <w:pPr>
        <w:spacing w:line="360" w:lineRule="auto"/>
        <w:ind w:firstLine="720"/>
        <w:rPr>
          <w:rFonts w:ascii="Times New Roman" w:hAnsi="Times New Roman" w:cs="Times New Roman"/>
          <w:sz w:val="20"/>
          <w:szCs w:val="20"/>
          <w:lang w:val="en-GB"/>
        </w:rPr>
      </w:pPr>
      <w:r w:rsidRPr="00CA54BC">
        <w:rPr>
          <w:rFonts w:ascii="Times New Roman" w:hAnsi="Times New Roman" w:cs="Times New Roman"/>
          <w:color w:val="000000"/>
          <w:lang w:val="en-GB"/>
        </w:rPr>
        <w:t xml:space="preserve">All interviews were conducted in September 2018 either in English or Inuktitut by the author. Interviews were conducted until data saturation was reached. Because of the nature of </w:t>
      </w:r>
      <w:r w:rsidRPr="00CA54BC">
        <w:rPr>
          <w:rFonts w:ascii="Times New Roman" w:hAnsi="Times New Roman" w:cs="Times New Roman"/>
          <w:color w:val="000000"/>
          <w:lang w:val="en-GB"/>
        </w:rPr>
        <w:lastRenderedPageBreak/>
        <w:t xml:space="preserve">the questions, data saturation was reached early. Data saturation point was determined based on affirmation of points previously made by other interviewees. Interviews were recorded via a digital audio recorder when </w:t>
      </w:r>
      <w:proofErr w:type="gramStart"/>
      <w:r w:rsidRPr="00CA54BC">
        <w:rPr>
          <w:rFonts w:ascii="Times New Roman" w:hAnsi="Times New Roman" w:cs="Times New Roman"/>
          <w:color w:val="000000"/>
          <w:lang w:val="en-GB"/>
        </w:rPr>
        <w:t>consent was given by the participant</w:t>
      </w:r>
      <w:proofErr w:type="gramEnd"/>
      <w:r w:rsidRPr="00CA54BC">
        <w:rPr>
          <w:rFonts w:ascii="Times New Roman" w:hAnsi="Times New Roman" w:cs="Times New Roman"/>
          <w:color w:val="000000"/>
          <w:lang w:val="en-GB"/>
        </w:rPr>
        <w:t>. Notes were also taken and combined with transcribed interviews. Themes were identified based on the nine questions.</w:t>
      </w:r>
    </w:p>
    <w:p w14:paraId="6A6126B4"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sz w:val="20"/>
          <w:szCs w:val="20"/>
          <w:lang w:val="en-GB"/>
        </w:rPr>
        <w:t> </w:t>
      </w:r>
    </w:p>
    <w:p w14:paraId="2C16A6A0"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i/>
          <w:iCs/>
          <w:color w:val="000000"/>
          <w:u w:val="single"/>
          <w:lang w:val="en-GB"/>
        </w:rPr>
        <w:t>Seal samples</w:t>
      </w:r>
    </w:p>
    <w:p w14:paraId="7C031CCA" w14:textId="77777777" w:rsidR="00BC7369" w:rsidRPr="00CA54BC" w:rsidRDefault="00BC7369" w:rsidP="004946CA">
      <w:pPr>
        <w:spacing w:line="360" w:lineRule="auto"/>
        <w:ind w:firstLine="720"/>
        <w:rPr>
          <w:rFonts w:ascii="Times New Roman" w:hAnsi="Times New Roman" w:cs="Times New Roman"/>
          <w:sz w:val="20"/>
          <w:szCs w:val="20"/>
          <w:lang w:val="en-GB"/>
        </w:rPr>
      </w:pPr>
      <w:r w:rsidRPr="00CA54BC">
        <w:rPr>
          <w:rFonts w:ascii="Times New Roman" w:hAnsi="Times New Roman" w:cs="Times New Roman"/>
          <w:color w:val="000000"/>
          <w:lang w:val="en-GB"/>
        </w:rPr>
        <w:t xml:space="preserve">All samples were obtained from local Inuit hunters during their subsistence harvests within Frobisher Bay in spring 2017, and spring and fall 2018. Hunters were provided with 10-mL </w:t>
      </w:r>
      <w:proofErr w:type="spellStart"/>
      <w:r w:rsidRPr="00CA54BC">
        <w:rPr>
          <w:rFonts w:ascii="Times New Roman" w:hAnsi="Times New Roman" w:cs="Times New Roman"/>
          <w:color w:val="000000"/>
          <w:lang w:val="en-GB"/>
        </w:rPr>
        <w:t>Vacutainer</w:t>
      </w:r>
      <w:proofErr w:type="spellEnd"/>
      <w:r w:rsidRPr="00CA54BC">
        <w:rPr>
          <w:rFonts w:ascii="Times New Roman" w:hAnsi="Times New Roman" w:cs="Times New Roman"/>
          <w:color w:val="000000"/>
          <w:lang w:val="en-GB"/>
        </w:rPr>
        <w:t>® tubes for blood sampling (with spray-coated silica and polymer gel for serum separation; Becton Dickinson and Company) prior to leaving for their hunt. They were instructed to collect free-flowing blood from the bullet wounds. Selection of the seals being harvested was left entirely to the hunters’ decision, since an important goal of this project was to assess the health of seals that would normally be consumed in the community. The following information was recorded: hunter’s name, location of the seal’s capture, its sex (most cases), approximate age, standard length, axillary girth, and blubber thickness over the sternum. Age classification was based on standard length, girth, and in some cases pattern of the pelt, and typically was left for the hunter to determine. Some seals were not aged in the field, and the jaws were submitted for age analysis to the Matson’s Laboratory (Milltown, MT, U.S.A.). Seals were classified as: young of the year, juvenile (approximately 1-5 years old), adult, and unknown.</w:t>
      </w:r>
    </w:p>
    <w:p w14:paraId="1E747B54" w14:textId="513391F2" w:rsidR="00BC7369" w:rsidRPr="00CA54BC" w:rsidRDefault="00BC7369" w:rsidP="004946CA">
      <w:pPr>
        <w:spacing w:line="360" w:lineRule="auto"/>
        <w:ind w:firstLine="720"/>
        <w:rPr>
          <w:rFonts w:ascii="Times New Roman" w:hAnsi="Times New Roman" w:cs="Times New Roman"/>
          <w:color w:val="000000"/>
          <w:lang w:val="en-GB"/>
        </w:rPr>
      </w:pPr>
      <w:r w:rsidRPr="00CA54BC">
        <w:rPr>
          <w:rFonts w:ascii="Times New Roman" w:hAnsi="Times New Roman" w:cs="Times New Roman"/>
          <w:color w:val="000000"/>
          <w:lang w:val="en-GB"/>
        </w:rPr>
        <w:t xml:space="preserve">Body condition for all seals was assessed based on blubber thickness, girth, and size. The following tissues were sampled: tongue and diaphragm, tonsils, lung, </w:t>
      </w:r>
      <w:proofErr w:type="spellStart"/>
      <w:r w:rsidRPr="00CA54BC">
        <w:rPr>
          <w:rFonts w:ascii="Times New Roman" w:hAnsi="Times New Roman" w:cs="Times New Roman"/>
          <w:color w:val="000000"/>
          <w:lang w:val="en-GB"/>
        </w:rPr>
        <w:t>mediastinal</w:t>
      </w:r>
      <w:proofErr w:type="spellEnd"/>
      <w:r w:rsidRPr="00CA54BC">
        <w:rPr>
          <w:rFonts w:ascii="Times New Roman" w:hAnsi="Times New Roman" w:cs="Times New Roman"/>
          <w:color w:val="000000"/>
          <w:lang w:val="en-GB"/>
        </w:rPr>
        <w:t xml:space="preserve"> lymph node, mesenteric lymph node, liver, kidney, spleen, and muscle.</w:t>
      </w:r>
    </w:p>
    <w:p w14:paraId="067DCF59" w14:textId="23883B3D" w:rsidR="00BC7369" w:rsidRPr="00CA54BC" w:rsidRDefault="00BC7369" w:rsidP="004946CA">
      <w:pPr>
        <w:spacing w:line="360" w:lineRule="auto"/>
        <w:ind w:firstLine="720"/>
        <w:rPr>
          <w:rFonts w:ascii="Times New Roman" w:hAnsi="Times New Roman" w:cs="Times New Roman"/>
          <w:color w:val="000000"/>
          <w:lang w:val="en-GB"/>
        </w:rPr>
      </w:pPr>
      <w:r w:rsidRPr="00CA54BC">
        <w:rPr>
          <w:rFonts w:ascii="Times New Roman" w:hAnsi="Times New Roman" w:cs="Times New Roman"/>
          <w:color w:val="000000"/>
          <w:lang w:val="en-GB"/>
        </w:rPr>
        <w:t xml:space="preserve">Histology and bacteriology was also conducted on select samples that displayed </w:t>
      </w:r>
      <w:proofErr w:type="gramStart"/>
      <w:r w:rsidRPr="00CA54BC">
        <w:rPr>
          <w:rFonts w:ascii="Times New Roman" w:hAnsi="Times New Roman" w:cs="Times New Roman"/>
          <w:color w:val="000000"/>
          <w:lang w:val="en-GB"/>
        </w:rPr>
        <w:t>gross</w:t>
      </w:r>
      <w:proofErr w:type="gramEnd"/>
      <w:r w:rsidRPr="00CA54BC">
        <w:rPr>
          <w:rFonts w:ascii="Times New Roman" w:hAnsi="Times New Roman" w:cs="Times New Roman"/>
          <w:color w:val="000000"/>
          <w:lang w:val="en-GB"/>
        </w:rPr>
        <w:t xml:space="preserve"> lesions.</w:t>
      </w:r>
    </w:p>
    <w:p w14:paraId="5593169B" w14:textId="77777777" w:rsidR="00BC7369" w:rsidRPr="00CA54BC" w:rsidRDefault="00BC7369" w:rsidP="004946CA">
      <w:pPr>
        <w:spacing w:line="360" w:lineRule="auto"/>
        <w:ind w:firstLine="720"/>
        <w:rPr>
          <w:rFonts w:ascii="Times New Roman" w:hAnsi="Times New Roman" w:cs="Times New Roman"/>
          <w:sz w:val="20"/>
          <w:szCs w:val="20"/>
          <w:lang w:val="en-GB"/>
        </w:rPr>
      </w:pPr>
    </w:p>
    <w:p w14:paraId="0B3990BB" w14:textId="77777777" w:rsidR="00CA54BC" w:rsidRDefault="00CA54BC" w:rsidP="004946CA">
      <w:pPr>
        <w:spacing w:line="360" w:lineRule="auto"/>
        <w:rPr>
          <w:rFonts w:ascii="Times New Roman" w:hAnsi="Times New Roman" w:cs="Times New Roman"/>
          <w:color w:val="000000"/>
          <w:lang w:val="en-GB"/>
        </w:rPr>
      </w:pPr>
    </w:p>
    <w:p w14:paraId="3A721CF7" w14:textId="77777777" w:rsidR="00CA54BC" w:rsidRDefault="00CA54BC" w:rsidP="004946CA">
      <w:pPr>
        <w:spacing w:line="360" w:lineRule="auto"/>
        <w:rPr>
          <w:rFonts w:ascii="Times New Roman" w:hAnsi="Times New Roman" w:cs="Times New Roman"/>
          <w:color w:val="000000"/>
          <w:lang w:val="en-GB"/>
        </w:rPr>
      </w:pPr>
    </w:p>
    <w:p w14:paraId="46CE1110" w14:textId="77777777" w:rsidR="00CA54BC" w:rsidRDefault="00CA54BC" w:rsidP="004946CA">
      <w:pPr>
        <w:spacing w:line="360" w:lineRule="auto"/>
        <w:rPr>
          <w:rFonts w:ascii="Times New Roman" w:hAnsi="Times New Roman" w:cs="Times New Roman"/>
          <w:color w:val="000000"/>
          <w:lang w:val="en-GB"/>
        </w:rPr>
      </w:pPr>
    </w:p>
    <w:p w14:paraId="6A716AC7" w14:textId="77777777" w:rsidR="00CA54BC" w:rsidRDefault="00CA54BC" w:rsidP="004946CA">
      <w:pPr>
        <w:spacing w:line="360" w:lineRule="auto"/>
        <w:rPr>
          <w:rFonts w:ascii="Times New Roman" w:hAnsi="Times New Roman" w:cs="Times New Roman"/>
          <w:color w:val="000000"/>
          <w:lang w:val="en-GB"/>
        </w:rPr>
      </w:pPr>
    </w:p>
    <w:p w14:paraId="1C1A3793" w14:textId="77777777" w:rsidR="00CA54BC" w:rsidRDefault="00CA54BC" w:rsidP="004946CA">
      <w:pPr>
        <w:spacing w:line="360" w:lineRule="auto"/>
        <w:rPr>
          <w:rFonts w:ascii="Times New Roman" w:hAnsi="Times New Roman" w:cs="Times New Roman"/>
          <w:color w:val="000000"/>
          <w:lang w:val="en-GB"/>
        </w:rPr>
      </w:pPr>
    </w:p>
    <w:p w14:paraId="4B830ADE"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Table 1. Analyses performed on samples collected from nattiit harvested in Frobisher Bay, 2017-2018, and location of laboratories where these analyses were performed.</w:t>
      </w:r>
    </w:p>
    <w:tbl>
      <w:tblPr>
        <w:tblW w:w="0" w:type="auto"/>
        <w:tblCellMar>
          <w:top w:w="15" w:type="dxa"/>
          <w:left w:w="15" w:type="dxa"/>
          <w:bottom w:w="15" w:type="dxa"/>
          <w:right w:w="15" w:type="dxa"/>
        </w:tblCellMar>
        <w:tblLook w:val="04A0" w:firstRow="1" w:lastRow="0" w:firstColumn="1" w:lastColumn="0" w:noHBand="0" w:noVBand="1"/>
      </w:tblPr>
      <w:tblGrid>
        <w:gridCol w:w="3415"/>
        <w:gridCol w:w="6127"/>
      </w:tblGrid>
      <w:tr w:rsidR="00BC7369" w:rsidRPr="00CA54BC" w14:paraId="59718F3E" w14:textId="77777777" w:rsidTr="00BC7369">
        <w:tc>
          <w:tcPr>
            <w:tcW w:w="0" w:type="auto"/>
            <w:tcBorders>
              <w:bottom w:val="single" w:sz="4" w:space="0" w:color="000000"/>
            </w:tcBorders>
            <w:tcMar>
              <w:top w:w="0" w:type="dxa"/>
              <w:left w:w="108" w:type="dxa"/>
              <w:bottom w:w="0" w:type="dxa"/>
              <w:right w:w="108" w:type="dxa"/>
            </w:tcMar>
            <w:hideMark/>
          </w:tcPr>
          <w:p w14:paraId="7D44CEB8" w14:textId="77777777" w:rsidR="00BC7369" w:rsidRPr="00CA54BC" w:rsidRDefault="00BC7369" w:rsidP="004946CA">
            <w:pPr>
              <w:spacing w:line="360" w:lineRule="auto"/>
              <w:jc w:val="center"/>
              <w:rPr>
                <w:rFonts w:ascii="Times New Roman" w:hAnsi="Times New Roman" w:cs="Times New Roman"/>
                <w:sz w:val="20"/>
                <w:szCs w:val="20"/>
                <w:lang w:val="en-GB"/>
              </w:rPr>
            </w:pPr>
            <w:r w:rsidRPr="00CA54BC">
              <w:rPr>
                <w:rFonts w:ascii="Times New Roman" w:hAnsi="Times New Roman" w:cs="Times New Roman"/>
                <w:b/>
                <w:bCs/>
                <w:color w:val="000000"/>
                <w:lang w:val="en-GB"/>
              </w:rPr>
              <w:t>Analysis performed</w:t>
            </w:r>
          </w:p>
        </w:tc>
        <w:tc>
          <w:tcPr>
            <w:tcW w:w="0" w:type="auto"/>
            <w:tcBorders>
              <w:bottom w:val="single" w:sz="4" w:space="0" w:color="000000"/>
            </w:tcBorders>
            <w:tcMar>
              <w:top w:w="0" w:type="dxa"/>
              <w:left w:w="108" w:type="dxa"/>
              <w:bottom w:w="0" w:type="dxa"/>
              <w:right w:w="108" w:type="dxa"/>
            </w:tcMar>
            <w:hideMark/>
          </w:tcPr>
          <w:p w14:paraId="53BB7482" w14:textId="77777777" w:rsidR="00BC7369" w:rsidRPr="00CA54BC" w:rsidRDefault="00BC7369" w:rsidP="004946CA">
            <w:pPr>
              <w:spacing w:line="360" w:lineRule="auto"/>
              <w:jc w:val="center"/>
              <w:rPr>
                <w:rFonts w:ascii="Times New Roman" w:hAnsi="Times New Roman" w:cs="Times New Roman"/>
                <w:sz w:val="20"/>
                <w:szCs w:val="20"/>
                <w:lang w:val="en-GB"/>
              </w:rPr>
            </w:pPr>
            <w:r w:rsidRPr="00CA54BC">
              <w:rPr>
                <w:rFonts w:ascii="Times New Roman" w:hAnsi="Times New Roman" w:cs="Times New Roman"/>
                <w:b/>
                <w:bCs/>
                <w:color w:val="000000"/>
                <w:lang w:val="en-GB"/>
              </w:rPr>
              <w:t>Location</w:t>
            </w:r>
          </w:p>
        </w:tc>
      </w:tr>
      <w:tr w:rsidR="00BC7369" w:rsidRPr="00CA54BC" w14:paraId="21399D07" w14:textId="77777777" w:rsidTr="00BC7369">
        <w:trPr>
          <w:trHeight w:val="940"/>
        </w:trPr>
        <w:tc>
          <w:tcPr>
            <w:tcW w:w="0" w:type="auto"/>
            <w:tcBorders>
              <w:top w:val="single" w:sz="4" w:space="0" w:color="000000"/>
            </w:tcBorders>
            <w:tcMar>
              <w:top w:w="0" w:type="dxa"/>
              <w:left w:w="108" w:type="dxa"/>
              <w:bottom w:w="0" w:type="dxa"/>
              <w:right w:w="108" w:type="dxa"/>
            </w:tcMar>
            <w:hideMark/>
          </w:tcPr>
          <w:p w14:paraId="74912C90"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Heavy metals and trace elements</w:t>
            </w:r>
          </w:p>
        </w:tc>
        <w:tc>
          <w:tcPr>
            <w:tcW w:w="0" w:type="auto"/>
            <w:tcBorders>
              <w:top w:val="single" w:sz="4" w:space="0" w:color="000000"/>
            </w:tcBorders>
            <w:tcMar>
              <w:top w:w="0" w:type="dxa"/>
              <w:left w:w="108" w:type="dxa"/>
              <w:bottom w:w="0" w:type="dxa"/>
              <w:right w:w="108" w:type="dxa"/>
            </w:tcMar>
            <w:hideMark/>
          </w:tcPr>
          <w:p w14:paraId="006797DD"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Animal Health Laboratory, University of Guelph, Ontario</w:t>
            </w:r>
          </w:p>
        </w:tc>
      </w:tr>
      <w:tr w:rsidR="00BC7369" w:rsidRPr="00CA54BC" w14:paraId="618D0FFF" w14:textId="77777777" w:rsidTr="00BC7369">
        <w:trPr>
          <w:trHeight w:val="1400"/>
        </w:trPr>
        <w:tc>
          <w:tcPr>
            <w:tcW w:w="0" w:type="auto"/>
            <w:tcMar>
              <w:top w:w="0" w:type="dxa"/>
              <w:left w:w="108" w:type="dxa"/>
              <w:bottom w:w="0" w:type="dxa"/>
              <w:right w:w="108" w:type="dxa"/>
            </w:tcMar>
            <w:hideMark/>
          </w:tcPr>
          <w:p w14:paraId="3A49E1AC"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xml:space="preserve">Serology for </w:t>
            </w:r>
            <w:r w:rsidRPr="00CA54BC">
              <w:rPr>
                <w:rFonts w:ascii="Times New Roman" w:hAnsi="Times New Roman" w:cs="Times New Roman"/>
                <w:i/>
                <w:iCs/>
                <w:color w:val="000000"/>
                <w:lang w:val="en-GB"/>
              </w:rPr>
              <w:t>Brucella</w:t>
            </w:r>
            <w:r w:rsidRPr="00CA54BC">
              <w:rPr>
                <w:rFonts w:ascii="Times New Roman" w:hAnsi="Times New Roman" w:cs="Times New Roman"/>
                <w:color w:val="000000"/>
                <w:lang w:val="en-GB"/>
              </w:rPr>
              <w:t xml:space="preserve"> and </w:t>
            </w:r>
            <w:r w:rsidRPr="00CA54BC">
              <w:rPr>
                <w:rFonts w:ascii="Times New Roman" w:hAnsi="Times New Roman" w:cs="Times New Roman"/>
                <w:i/>
                <w:iCs/>
                <w:color w:val="000000"/>
                <w:lang w:val="en-GB"/>
              </w:rPr>
              <w:t>Leptospira</w:t>
            </w:r>
          </w:p>
        </w:tc>
        <w:tc>
          <w:tcPr>
            <w:tcW w:w="0" w:type="auto"/>
            <w:tcMar>
              <w:top w:w="0" w:type="dxa"/>
              <w:left w:w="108" w:type="dxa"/>
              <w:bottom w:w="0" w:type="dxa"/>
              <w:right w:w="108" w:type="dxa"/>
            </w:tcMar>
            <w:hideMark/>
          </w:tcPr>
          <w:p w14:paraId="3F635A54"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Veterinary Diagnostic Laboratory (</w:t>
            </w:r>
            <w:proofErr w:type="spellStart"/>
            <w:r w:rsidRPr="00CA54BC">
              <w:rPr>
                <w:rFonts w:ascii="Times New Roman" w:hAnsi="Times New Roman" w:cs="Times New Roman"/>
                <w:color w:val="000000"/>
                <w:lang w:val="en-GB"/>
              </w:rPr>
              <w:t>Dr.</w:t>
            </w:r>
            <w:proofErr w:type="spellEnd"/>
            <w:r w:rsidRPr="00CA54BC">
              <w:rPr>
                <w:rFonts w:ascii="Times New Roman" w:hAnsi="Times New Roman" w:cs="Times New Roman"/>
                <w:color w:val="000000"/>
                <w:lang w:val="en-GB"/>
              </w:rPr>
              <w:t xml:space="preserve"> Jeremiah </w:t>
            </w:r>
            <w:proofErr w:type="spellStart"/>
            <w:r w:rsidRPr="00CA54BC">
              <w:rPr>
                <w:rFonts w:ascii="Times New Roman" w:hAnsi="Times New Roman" w:cs="Times New Roman"/>
                <w:color w:val="000000"/>
                <w:lang w:val="en-GB"/>
              </w:rPr>
              <w:t>Saliki</w:t>
            </w:r>
            <w:proofErr w:type="spellEnd"/>
            <w:r w:rsidRPr="00CA54BC">
              <w:rPr>
                <w:rFonts w:ascii="Times New Roman" w:hAnsi="Times New Roman" w:cs="Times New Roman"/>
                <w:color w:val="000000"/>
                <w:lang w:val="en-GB"/>
              </w:rPr>
              <w:t>), College of Veterinary Medicine, University of Georgia</w:t>
            </w:r>
          </w:p>
        </w:tc>
      </w:tr>
      <w:tr w:rsidR="00BC7369" w:rsidRPr="00CA54BC" w14:paraId="6DBE3DB2" w14:textId="77777777" w:rsidTr="00BC7369">
        <w:trPr>
          <w:trHeight w:val="980"/>
        </w:trPr>
        <w:tc>
          <w:tcPr>
            <w:tcW w:w="0" w:type="auto"/>
            <w:tcMar>
              <w:top w:w="0" w:type="dxa"/>
              <w:left w:w="108" w:type="dxa"/>
              <w:bottom w:w="0" w:type="dxa"/>
              <w:right w:w="108" w:type="dxa"/>
            </w:tcMar>
            <w:hideMark/>
          </w:tcPr>
          <w:p w14:paraId="7BAB8E69"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xml:space="preserve">Serology for </w:t>
            </w:r>
            <w:r w:rsidRPr="00CA54BC">
              <w:rPr>
                <w:rFonts w:ascii="Times New Roman" w:hAnsi="Times New Roman" w:cs="Times New Roman"/>
                <w:i/>
                <w:iCs/>
                <w:color w:val="000000"/>
                <w:lang w:val="en-GB"/>
              </w:rPr>
              <w:t>Erysipelothrix</w:t>
            </w:r>
          </w:p>
        </w:tc>
        <w:tc>
          <w:tcPr>
            <w:tcW w:w="0" w:type="auto"/>
            <w:tcMar>
              <w:top w:w="0" w:type="dxa"/>
              <w:left w:w="108" w:type="dxa"/>
              <w:bottom w:w="0" w:type="dxa"/>
              <w:right w:w="108" w:type="dxa"/>
            </w:tcMar>
            <w:hideMark/>
          </w:tcPr>
          <w:p w14:paraId="7F835E1B"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xml:space="preserve">Laboratory of </w:t>
            </w:r>
            <w:proofErr w:type="spellStart"/>
            <w:r w:rsidRPr="00CA54BC">
              <w:rPr>
                <w:rFonts w:ascii="Times New Roman" w:hAnsi="Times New Roman" w:cs="Times New Roman"/>
                <w:color w:val="000000"/>
                <w:lang w:val="en-GB"/>
              </w:rPr>
              <w:t>Dr.</w:t>
            </w:r>
            <w:proofErr w:type="spellEnd"/>
            <w:r w:rsidRPr="00CA54BC">
              <w:rPr>
                <w:rFonts w:ascii="Times New Roman" w:hAnsi="Times New Roman" w:cs="Times New Roman"/>
                <w:color w:val="000000"/>
                <w:lang w:val="en-GB"/>
              </w:rPr>
              <w:t xml:space="preserve"> Susan </w:t>
            </w:r>
            <w:proofErr w:type="spellStart"/>
            <w:r w:rsidRPr="00CA54BC">
              <w:rPr>
                <w:rFonts w:ascii="Times New Roman" w:hAnsi="Times New Roman" w:cs="Times New Roman"/>
                <w:color w:val="000000"/>
                <w:lang w:val="en-GB"/>
              </w:rPr>
              <w:t>Kutz</w:t>
            </w:r>
            <w:proofErr w:type="spellEnd"/>
            <w:r w:rsidRPr="00CA54BC">
              <w:rPr>
                <w:rFonts w:ascii="Times New Roman" w:hAnsi="Times New Roman" w:cs="Times New Roman"/>
                <w:color w:val="000000"/>
                <w:lang w:val="en-GB"/>
              </w:rPr>
              <w:t>, University of Calgary Veterinary Medicine, Alberta</w:t>
            </w:r>
          </w:p>
        </w:tc>
      </w:tr>
      <w:tr w:rsidR="00BC7369" w:rsidRPr="00CA54BC" w14:paraId="5F39B70D" w14:textId="77777777" w:rsidTr="00BC7369">
        <w:trPr>
          <w:trHeight w:val="1000"/>
        </w:trPr>
        <w:tc>
          <w:tcPr>
            <w:tcW w:w="0" w:type="auto"/>
            <w:tcMar>
              <w:top w:w="0" w:type="dxa"/>
              <w:left w:w="108" w:type="dxa"/>
              <w:bottom w:w="0" w:type="dxa"/>
              <w:right w:w="108" w:type="dxa"/>
            </w:tcMar>
            <w:hideMark/>
          </w:tcPr>
          <w:p w14:paraId="3651DAAA"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xml:space="preserve">Serology for </w:t>
            </w:r>
            <w:r w:rsidRPr="00CA54BC">
              <w:rPr>
                <w:rFonts w:ascii="Times New Roman" w:hAnsi="Times New Roman" w:cs="Times New Roman"/>
                <w:i/>
                <w:iCs/>
                <w:color w:val="000000"/>
                <w:lang w:val="en-GB"/>
              </w:rPr>
              <w:t>Toxoplasma</w:t>
            </w:r>
          </w:p>
        </w:tc>
        <w:tc>
          <w:tcPr>
            <w:tcW w:w="0" w:type="auto"/>
            <w:tcMar>
              <w:top w:w="0" w:type="dxa"/>
              <w:left w:w="108" w:type="dxa"/>
              <w:bottom w:w="0" w:type="dxa"/>
              <w:right w:w="108" w:type="dxa"/>
            </w:tcMar>
            <w:hideMark/>
          </w:tcPr>
          <w:p w14:paraId="7D3E6F1D"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xml:space="preserve">Laboratory of </w:t>
            </w:r>
            <w:proofErr w:type="spellStart"/>
            <w:r w:rsidRPr="00CA54BC">
              <w:rPr>
                <w:rFonts w:ascii="Times New Roman" w:hAnsi="Times New Roman" w:cs="Times New Roman"/>
                <w:color w:val="000000"/>
                <w:lang w:val="en-GB"/>
              </w:rPr>
              <w:t>Dr.</w:t>
            </w:r>
            <w:proofErr w:type="spellEnd"/>
            <w:r w:rsidRPr="00CA54BC">
              <w:rPr>
                <w:rFonts w:ascii="Times New Roman" w:hAnsi="Times New Roman" w:cs="Times New Roman"/>
                <w:color w:val="000000"/>
                <w:lang w:val="en-GB"/>
              </w:rPr>
              <w:t xml:space="preserve"> Emily Jenkins, Western College of Veterinary Medicine, University of Saskatchewan</w:t>
            </w:r>
          </w:p>
        </w:tc>
      </w:tr>
      <w:tr w:rsidR="00BC7369" w:rsidRPr="00CA54BC" w14:paraId="77D060B0" w14:textId="77777777" w:rsidTr="00BC7369">
        <w:trPr>
          <w:trHeight w:val="940"/>
        </w:trPr>
        <w:tc>
          <w:tcPr>
            <w:tcW w:w="0" w:type="auto"/>
            <w:tcBorders>
              <w:bottom w:val="single" w:sz="4" w:space="0" w:color="auto"/>
            </w:tcBorders>
            <w:tcMar>
              <w:top w:w="0" w:type="dxa"/>
              <w:left w:w="108" w:type="dxa"/>
              <w:bottom w:w="0" w:type="dxa"/>
              <w:right w:w="108" w:type="dxa"/>
            </w:tcMar>
            <w:hideMark/>
          </w:tcPr>
          <w:p w14:paraId="44304FF4"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xml:space="preserve">Identification of </w:t>
            </w:r>
            <w:r w:rsidRPr="00CA54BC">
              <w:rPr>
                <w:rFonts w:ascii="Times New Roman" w:hAnsi="Times New Roman" w:cs="Times New Roman"/>
                <w:i/>
                <w:iCs/>
                <w:color w:val="000000"/>
                <w:lang w:val="en-GB"/>
              </w:rPr>
              <w:t>Trichinella</w:t>
            </w:r>
            <w:r w:rsidRPr="00CA54BC">
              <w:rPr>
                <w:rFonts w:ascii="Times New Roman" w:hAnsi="Times New Roman" w:cs="Times New Roman"/>
                <w:color w:val="000000"/>
                <w:lang w:val="en-GB"/>
              </w:rPr>
              <w:t xml:space="preserve"> in tongue and diaphragm</w:t>
            </w:r>
          </w:p>
        </w:tc>
        <w:tc>
          <w:tcPr>
            <w:tcW w:w="0" w:type="auto"/>
            <w:tcBorders>
              <w:bottom w:val="single" w:sz="4" w:space="0" w:color="auto"/>
            </w:tcBorders>
            <w:tcMar>
              <w:top w:w="0" w:type="dxa"/>
              <w:left w:w="108" w:type="dxa"/>
              <w:bottom w:w="0" w:type="dxa"/>
              <w:right w:w="108" w:type="dxa"/>
            </w:tcMar>
            <w:hideMark/>
          </w:tcPr>
          <w:p w14:paraId="0C782281"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xml:space="preserve">Laboratory of </w:t>
            </w:r>
            <w:proofErr w:type="spellStart"/>
            <w:r w:rsidRPr="00CA54BC">
              <w:rPr>
                <w:rFonts w:ascii="Times New Roman" w:hAnsi="Times New Roman" w:cs="Times New Roman"/>
                <w:color w:val="000000"/>
                <w:lang w:val="en-GB"/>
              </w:rPr>
              <w:t>Dr.</w:t>
            </w:r>
            <w:proofErr w:type="spellEnd"/>
            <w:r w:rsidRPr="00CA54BC">
              <w:rPr>
                <w:rFonts w:ascii="Times New Roman" w:hAnsi="Times New Roman" w:cs="Times New Roman"/>
                <w:color w:val="000000"/>
                <w:lang w:val="en-GB"/>
              </w:rPr>
              <w:t xml:space="preserve"> Emily Jenkins, Western College of Veterinary Medicine, University of Saskatchewan</w:t>
            </w:r>
          </w:p>
        </w:tc>
      </w:tr>
      <w:tr w:rsidR="00BC7369" w:rsidRPr="00CA54BC" w14:paraId="53393AD6" w14:textId="77777777" w:rsidTr="00BC7369">
        <w:tc>
          <w:tcPr>
            <w:tcW w:w="0" w:type="auto"/>
            <w:tcBorders>
              <w:top w:val="single" w:sz="4" w:space="0" w:color="auto"/>
              <w:bottom w:val="single" w:sz="4" w:space="0" w:color="000000"/>
            </w:tcBorders>
            <w:tcMar>
              <w:top w:w="0" w:type="dxa"/>
              <w:left w:w="108" w:type="dxa"/>
              <w:bottom w:w="0" w:type="dxa"/>
              <w:right w:w="108" w:type="dxa"/>
            </w:tcMar>
            <w:hideMark/>
          </w:tcPr>
          <w:p w14:paraId="101A3820" w14:textId="77777777" w:rsidR="00BC7369" w:rsidRPr="00CA54BC" w:rsidRDefault="00BC7369" w:rsidP="004946CA">
            <w:pPr>
              <w:spacing w:line="360" w:lineRule="auto"/>
              <w:rPr>
                <w:rFonts w:ascii="Times New Roman" w:eastAsia="Times New Roman" w:hAnsi="Times New Roman" w:cs="Times New Roman"/>
                <w:sz w:val="1"/>
                <w:szCs w:val="20"/>
                <w:lang w:val="en-GB"/>
              </w:rPr>
            </w:pPr>
          </w:p>
        </w:tc>
        <w:tc>
          <w:tcPr>
            <w:tcW w:w="0" w:type="auto"/>
            <w:tcBorders>
              <w:top w:val="single" w:sz="4" w:space="0" w:color="auto"/>
              <w:bottom w:val="single" w:sz="4" w:space="0" w:color="000000"/>
            </w:tcBorders>
            <w:tcMar>
              <w:top w:w="0" w:type="dxa"/>
              <w:left w:w="108" w:type="dxa"/>
              <w:bottom w:w="0" w:type="dxa"/>
              <w:right w:w="108" w:type="dxa"/>
            </w:tcMar>
            <w:hideMark/>
          </w:tcPr>
          <w:p w14:paraId="58E7E496" w14:textId="77777777" w:rsidR="00BC7369" w:rsidRPr="00CA54BC" w:rsidRDefault="00BC7369" w:rsidP="004946CA">
            <w:pPr>
              <w:spacing w:line="360" w:lineRule="auto"/>
              <w:rPr>
                <w:rFonts w:ascii="Times New Roman" w:eastAsia="Times New Roman" w:hAnsi="Times New Roman" w:cs="Times New Roman"/>
                <w:sz w:val="1"/>
                <w:szCs w:val="20"/>
                <w:lang w:val="en-GB"/>
              </w:rPr>
            </w:pPr>
          </w:p>
        </w:tc>
      </w:tr>
    </w:tbl>
    <w:p w14:paraId="63CC1F4D" w14:textId="06D7239C" w:rsidR="00BC7369" w:rsidRPr="00CA54BC" w:rsidRDefault="00BC7369" w:rsidP="004946CA">
      <w:pPr>
        <w:spacing w:line="360" w:lineRule="auto"/>
        <w:rPr>
          <w:rFonts w:ascii="Times New Roman" w:hAnsi="Times New Roman" w:cs="Times New Roman"/>
          <w:sz w:val="20"/>
          <w:szCs w:val="20"/>
          <w:lang w:val="en-GB"/>
        </w:rPr>
      </w:pPr>
    </w:p>
    <w:p w14:paraId="457EDD20"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sz w:val="20"/>
          <w:szCs w:val="20"/>
          <w:lang w:val="en-GB"/>
        </w:rPr>
        <w:t> </w:t>
      </w:r>
    </w:p>
    <w:p w14:paraId="52940978"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sz w:val="20"/>
          <w:szCs w:val="20"/>
          <w:lang w:val="en-GB"/>
        </w:rPr>
        <w:t> </w:t>
      </w:r>
    </w:p>
    <w:p w14:paraId="143C1B69"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i/>
          <w:iCs/>
          <w:color w:val="000000"/>
          <w:u w:val="single"/>
          <w:lang w:val="en-GB"/>
        </w:rPr>
        <w:t>Statistical Analysis and ethics</w:t>
      </w:r>
    </w:p>
    <w:p w14:paraId="60F44450"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lang w:val="en-GB"/>
        </w:rPr>
        <w:t>        </w:t>
      </w:r>
      <w:r w:rsidRPr="00CA54BC">
        <w:rPr>
          <w:rFonts w:ascii="Times New Roman" w:hAnsi="Times New Roman" w:cs="Times New Roman"/>
          <w:color w:val="000000"/>
          <w:lang w:val="en-GB"/>
        </w:rPr>
        <w:tab/>
        <w:t xml:space="preserve">Fisher’s Exact test of independence was used to determine sex predilection for seals that were positive for </w:t>
      </w:r>
      <w:r w:rsidRPr="00CA54BC">
        <w:rPr>
          <w:rFonts w:ascii="Times New Roman" w:hAnsi="Times New Roman" w:cs="Times New Roman"/>
          <w:i/>
          <w:iCs/>
          <w:color w:val="000000"/>
          <w:lang w:val="en-GB"/>
        </w:rPr>
        <w:t>Brucella, Erysipelas,</w:t>
      </w:r>
      <w:r w:rsidRPr="00CA54BC">
        <w:rPr>
          <w:rFonts w:ascii="Times New Roman" w:hAnsi="Times New Roman" w:cs="Times New Roman"/>
          <w:color w:val="000000"/>
          <w:lang w:val="en-GB"/>
        </w:rPr>
        <w:t xml:space="preserve"> </w:t>
      </w:r>
      <w:r w:rsidRPr="00CA54BC">
        <w:rPr>
          <w:rFonts w:ascii="Times New Roman" w:hAnsi="Times New Roman" w:cs="Times New Roman"/>
          <w:i/>
          <w:iCs/>
          <w:color w:val="000000"/>
          <w:lang w:val="en-GB"/>
        </w:rPr>
        <w:t xml:space="preserve">Leptospira </w:t>
      </w:r>
      <w:r w:rsidRPr="00CA54BC">
        <w:rPr>
          <w:rFonts w:ascii="Times New Roman" w:hAnsi="Times New Roman" w:cs="Times New Roman"/>
          <w:color w:val="000000"/>
          <w:lang w:val="en-GB"/>
        </w:rPr>
        <w:t>and</w:t>
      </w:r>
      <w:r w:rsidRPr="00CA54BC">
        <w:rPr>
          <w:rFonts w:ascii="Times New Roman" w:hAnsi="Times New Roman" w:cs="Times New Roman"/>
          <w:i/>
          <w:iCs/>
          <w:color w:val="000000"/>
          <w:lang w:val="en-GB"/>
        </w:rPr>
        <w:t>, Toxoplasma</w:t>
      </w:r>
      <w:r w:rsidRPr="00CA54BC">
        <w:rPr>
          <w:rFonts w:ascii="Times New Roman" w:hAnsi="Times New Roman" w:cs="Times New Roman"/>
          <w:color w:val="000000"/>
          <w:lang w:val="en-GB"/>
        </w:rPr>
        <w:t xml:space="preserve">. A three-by-two Fisher’s test was used to </w:t>
      </w:r>
      <w:proofErr w:type="spellStart"/>
      <w:r w:rsidRPr="00CA54BC">
        <w:rPr>
          <w:rFonts w:ascii="Times New Roman" w:hAnsi="Times New Roman" w:cs="Times New Roman"/>
          <w:color w:val="000000"/>
          <w:lang w:val="en-GB"/>
        </w:rPr>
        <w:t>analyze</w:t>
      </w:r>
      <w:proofErr w:type="spellEnd"/>
      <w:r w:rsidRPr="00CA54BC">
        <w:rPr>
          <w:rFonts w:ascii="Times New Roman" w:hAnsi="Times New Roman" w:cs="Times New Roman"/>
          <w:color w:val="000000"/>
          <w:lang w:val="en-GB"/>
        </w:rPr>
        <w:t xml:space="preserve"> age predilection by comparing young-of-year seals (YOY), juveniles, and adult seals. An additional two-by-two Fisher’s exact test was used to test significance between YOY and adult seals. P values &lt;0.05 were considered statistically significant. All analyses were done using </w:t>
      </w:r>
      <w:proofErr w:type="spellStart"/>
      <w:r w:rsidRPr="00CA54BC">
        <w:rPr>
          <w:rFonts w:ascii="Times New Roman" w:hAnsi="Times New Roman" w:cs="Times New Roman"/>
          <w:color w:val="000000"/>
          <w:lang w:val="en-GB"/>
        </w:rPr>
        <w:t>StataCorp</w:t>
      </w:r>
      <w:proofErr w:type="spellEnd"/>
      <w:r w:rsidRPr="00CA54BC">
        <w:rPr>
          <w:rFonts w:ascii="Times New Roman" w:hAnsi="Times New Roman" w:cs="Times New Roman"/>
          <w:color w:val="000000"/>
          <w:lang w:val="en-GB"/>
        </w:rPr>
        <w:t>, 2013 (</w:t>
      </w:r>
      <w:proofErr w:type="spellStart"/>
      <w:r w:rsidRPr="00CA54BC">
        <w:rPr>
          <w:rFonts w:ascii="Times New Roman" w:hAnsi="Times New Roman" w:cs="Times New Roman"/>
          <w:i/>
          <w:iCs/>
          <w:color w:val="000000"/>
          <w:lang w:val="en-GB"/>
        </w:rPr>
        <w:t>Stata</w:t>
      </w:r>
      <w:proofErr w:type="spellEnd"/>
      <w:r w:rsidRPr="00CA54BC">
        <w:rPr>
          <w:rFonts w:ascii="Times New Roman" w:hAnsi="Times New Roman" w:cs="Times New Roman"/>
          <w:i/>
          <w:iCs/>
          <w:color w:val="000000"/>
          <w:lang w:val="en-GB"/>
        </w:rPr>
        <w:t xml:space="preserve"> statistical software: Release 13. </w:t>
      </w:r>
      <w:r w:rsidRPr="00CA54BC">
        <w:rPr>
          <w:rFonts w:ascii="Times New Roman" w:hAnsi="Times New Roman" w:cs="Times New Roman"/>
          <w:color w:val="000000"/>
          <w:lang w:val="en-GB"/>
        </w:rPr>
        <w:t xml:space="preserve">College station, TX: </w:t>
      </w:r>
      <w:proofErr w:type="spellStart"/>
      <w:r w:rsidRPr="00CA54BC">
        <w:rPr>
          <w:rFonts w:ascii="Times New Roman" w:hAnsi="Times New Roman" w:cs="Times New Roman"/>
          <w:color w:val="000000"/>
          <w:lang w:val="en-GB"/>
        </w:rPr>
        <w:t>StataCorp</w:t>
      </w:r>
      <w:proofErr w:type="spellEnd"/>
      <w:r w:rsidRPr="00CA54BC">
        <w:rPr>
          <w:rFonts w:ascii="Times New Roman" w:hAnsi="Times New Roman" w:cs="Times New Roman"/>
          <w:color w:val="000000"/>
          <w:lang w:val="en-GB"/>
        </w:rPr>
        <w:t xml:space="preserve"> LP).</w:t>
      </w:r>
    </w:p>
    <w:p w14:paraId="15EDA19C" w14:textId="77777777" w:rsidR="00BC7369" w:rsidRPr="00CA54BC" w:rsidRDefault="00BC7369" w:rsidP="004946CA">
      <w:pPr>
        <w:spacing w:line="360" w:lineRule="auto"/>
        <w:rPr>
          <w:rFonts w:ascii="Times New Roman" w:hAnsi="Times New Roman" w:cs="Times New Roman"/>
          <w:sz w:val="20"/>
          <w:szCs w:val="20"/>
          <w:lang w:val="en-GB"/>
        </w:rPr>
      </w:pPr>
      <w:r w:rsidRPr="00CA54BC">
        <w:rPr>
          <w:rFonts w:ascii="Times New Roman" w:hAnsi="Times New Roman" w:cs="Times New Roman"/>
          <w:color w:val="000000"/>
          <w:sz w:val="20"/>
          <w:szCs w:val="20"/>
          <w:lang w:val="en-GB"/>
        </w:rPr>
        <w:t> </w:t>
      </w:r>
    </w:p>
    <w:p w14:paraId="585D8A67" w14:textId="77777777" w:rsidR="00BC7369" w:rsidRPr="00CA54BC" w:rsidRDefault="00BC7369" w:rsidP="004946CA">
      <w:pPr>
        <w:spacing w:line="360" w:lineRule="auto"/>
        <w:rPr>
          <w:rFonts w:ascii="Times New Roman" w:eastAsia="Times New Roman" w:hAnsi="Times New Roman" w:cs="Times New Roman"/>
          <w:sz w:val="20"/>
          <w:szCs w:val="20"/>
          <w:lang w:val="en-GB"/>
        </w:rPr>
      </w:pPr>
      <w:r w:rsidRPr="00CA54BC">
        <w:rPr>
          <w:rFonts w:ascii="Times New Roman" w:eastAsia="Times New Roman" w:hAnsi="Times New Roman" w:cs="Times New Roman"/>
          <w:color w:val="000000"/>
          <w:lang w:val="en-GB"/>
        </w:rPr>
        <w:t>        </w:t>
      </w:r>
      <w:r w:rsidRPr="00CA54BC">
        <w:rPr>
          <w:rFonts w:ascii="Times New Roman" w:eastAsia="Times New Roman" w:hAnsi="Times New Roman" w:cs="Times New Roman"/>
          <w:color w:val="000000"/>
          <w:lang w:val="en-GB"/>
        </w:rPr>
        <w:tab/>
        <w:t xml:space="preserve">Researchers associated with this project obtained community approval through Iqaluit’s </w:t>
      </w:r>
      <w:proofErr w:type="spellStart"/>
      <w:r w:rsidRPr="00CA54BC">
        <w:rPr>
          <w:rFonts w:ascii="Times New Roman" w:eastAsia="Times New Roman" w:hAnsi="Times New Roman" w:cs="Times New Roman"/>
          <w:color w:val="000000"/>
          <w:lang w:val="en-GB"/>
        </w:rPr>
        <w:t>Amaruk</w:t>
      </w:r>
      <w:proofErr w:type="spellEnd"/>
      <w:r w:rsidRPr="00CA54BC">
        <w:rPr>
          <w:rFonts w:ascii="Times New Roman" w:eastAsia="Times New Roman" w:hAnsi="Times New Roman" w:cs="Times New Roman"/>
          <w:color w:val="000000"/>
          <w:lang w:val="en-GB"/>
        </w:rPr>
        <w:t xml:space="preserve"> Hunters and Trappers Association. </w:t>
      </w:r>
      <w:proofErr w:type="gramStart"/>
      <w:r w:rsidRPr="00CA54BC">
        <w:rPr>
          <w:rFonts w:ascii="Times New Roman" w:eastAsia="Times New Roman" w:hAnsi="Times New Roman" w:cs="Times New Roman"/>
          <w:color w:val="000000"/>
          <w:lang w:val="en-GB"/>
        </w:rPr>
        <w:t>This project was approved by the University of Prince Edward Island’s Research Ethics Board</w:t>
      </w:r>
      <w:proofErr w:type="gramEnd"/>
      <w:r w:rsidRPr="00CA54BC">
        <w:rPr>
          <w:rFonts w:ascii="Times New Roman" w:eastAsia="Times New Roman" w:hAnsi="Times New Roman" w:cs="Times New Roman"/>
          <w:color w:val="000000"/>
          <w:lang w:val="en-GB"/>
        </w:rPr>
        <w:t xml:space="preserve"> (Project ID A612809). Licenses were obtained from Department of Fisheries and Oceans for License to Fish for Scientific Purposes (</w:t>
      </w:r>
      <w:r w:rsidRPr="00CA54BC">
        <w:rPr>
          <w:rFonts w:ascii="Times New Roman" w:eastAsia="Times New Roman" w:hAnsi="Times New Roman" w:cs="Times New Roman"/>
          <w:color w:val="212121"/>
          <w:shd w:val="clear" w:color="auto" w:fill="FFFFFF"/>
          <w:lang w:val="en-GB"/>
        </w:rPr>
        <w:t>DFO LFSP S-17/18 1005-NU).</w:t>
      </w:r>
      <w:r w:rsidRPr="00CA54BC">
        <w:rPr>
          <w:rFonts w:ascii="Times New Roman" w:eastAsia="Times New Roman" w:hAnsi="Times New Roman" w:cs="Times New Roman"/>
          <w:color w:val="000000"/>
          <w:lang w:val="en-GB"/>
        </w:rPr>
        <w:t xml:space="preserve"> Nunavut Wildlife Management Board also approved this project, and requirements of The University of Prince Edward Island’s Biosafety Committee were fulfilled for shipping and handling of samples.</w:t>
      </w:r>
    </w:p>
    <w:p w14:paraId="376E3D3B" w14:textId="77777777" w:rsidR="00BC7369" w:rsidRPr="00CA54BC" w:rsidRDefault="00BC7369" w:rsidP="004946CA">
      <w:pPr>
        <w:spacing w:line="360" w:lineRule="auto"/>
        <w:rPr>
          <w:rFonts w:ascii="Times New Roman" w:hAnsi="Times New Roman" w:cs="Times New Roman"/>
        </w:rPr>
      </w:pPr>
    </w:p>
    <w:p w14:paraId="516D51EE" w14:textId="77777777" w:rsidR="007004D2" w:rsidRPr="00CA54BC" w:rsidRDefault="007004D2" w:rsidP="004946CA">
      <w:pPr>
        <w:spacing w:line="360" w:lineRule="auto"/>
        <w:rPr>
          <w:rFonts w:ascii="Times New Roman" w:hAnsi="Times New Roman" w:cs="Times New Roman"/>
          <w:i/>
        </w:rPr>
      </w:pPr>
    </w:p>
    <w:p w14:paraId="1DEE6BB0" w14:textId="77777777" w:rsidR="00BC7369" w:rsidRPr="00CA54BC" w:rsidRDefault="00BC7369" w:rsidP="004946CA">
      <w:pPr>
        <w:spacing w:line="360" w:lineRule="auto"/>
        <w:rPr>
          <w:rFonts w:ascii="Times New Roman" w:hAnsi="Times New Roman" w:cs="Times New Roman"/>
          <w:b/>
          <w:i/>
        </w:rPr>
      </w:pPr>
      <w:r w:rsidRPr="00CA54BC">
        <w:rPr>
          <w:rFonts w:ascii="Times New Roman" w:hAnsi="Times New Roman" w:cs="Times New Roman"/>
          <w:b/>
          <w:i/>
        </w:rPr>
        <w:t>Results</w:t>
      </w:r>
    </w:p>
    <w:p w14:paraId="55A7D83B" w14:textId="7E96078E" w:rsidR="00655FC2" w:rsidRPr="00CA54BC" w:rsidRDefault="00655FC2" w:rsidP="00655FC2">
      <w:pPr>
        <w:spacing w:line="480" w:lineRule="auto"/>
        <w:outlineLvl w:val="0"/>
        <w:rPr>
          <w:rFonts w:ascii="Times New Roman" w:hAnsi="Times New Roman" w:cs="Times New Roman"/>
          <w:lang w:val="en-GB"/>
        </w:rPr>
      </w:pPr>
      <w:r w:rsidRPr="00CA54BC">
        <w:rPr>
          <w:rFonts w:ascii="Times New Roman" w:hAnsi="Times New Roman" w:cs="Times New Roman"/>
          <w:i/>
          <w:iCs/>
          <w:color w:val="000000"/>
          <w:u w:val="single"/>
          <w:lang w:val="en-GB"/>
        </w:rPr>
        <w:t xml:space="preserve"> Inuit Qaujimajatuqangit</w:t>
      </w:r>
    </w:p>
    <w:p w14:paraId="5CACC23A" w14:textId="77777777" w:rsidR="00655FC2" w:rsidRPr="00CA54BC" w:rsidRDefault="00655FC2" w:rsidP="00655FC2">
      <w:pPr>
        <w:spacing w:line="360" w:lineRule="auto"/>
        <w:ind w:firstLine="720"/>
        <w:rPr>
          <w:rFonts w:ascii="Times New Roman" w:eastAsia="Times New Roman" w:hAnsi="Times New Roman" w:cs="Times New Roman"/>
          <w:color w:val="000000"/>
          <w:lang w:val="en-GB"/>
        </w:rPr>
      </w:pPr>
      <w:r w:rsidRPr="00CA54BC">
        <w:rPr>
          <w:rFonts w:ascii="Times New Roman" w:hAnsi="Times New Roman" w:cs="Times New Roman"/>
          <w:color w:val="000000"/>
          <w:lang w:val="en-GB"/>
        </w:rPr>
        <w:t>Nine interviews were conducted, with eight being with local hunters, and one with a very experienced sealskin preparation woman. All Local Knowledge Holders (LKH) were long-time residents of Iqaluit, NU. Six interviews were in Inuktitut, and three were in English, all conducted by the author. After completion of the final interview, the responses to the questions were sufficiently consistent across all LKHs, and it was determined that additional interviews were not needed. There were six themes identified in the thematic analysis of the interviews.</w:t>
      </w:r>
      <w:r w:rsidRPr="00CA54BC">
        <w:rPr>
          <w:rFonts w:ascii="Times New Roman" w:eastAsia="Times New Roman" w:hAnsi="Times New Roman" w:cs="Times New Roman"/>
          <w:color w:val="000000"/>
          <w:lang w:val="en-GB"/>
        </w:rPr>
        <w:br/>
      </w:r>
      <w:proofErr w:type="gramStart"/>
      <w:r w:rsidR="004946CA" w:rsidRPr="00CA54BC">
        <w:rPr>
          <w:rFonts w:ascii="Times New Roman" w:eastAsia="Times New Roman" w:hAnsi="Times New Roman" w:cs="Times New Roman"/>
          <w:color w:val="000000"/>
          <w:lang w:val="en-GB"/>
        </w:rPr>
        <w:t>All but two seals were deemed safe for consumption by the hunters</w:t>
      </w:r>
      <w:proofErr w:type="gramEnd"/>
      <w:r w:rsidR="004946CA" w:rsidRPr="00CA54BC">
        <w:rPr>
          <w:rFonts w:ascii="Times New Roman" w:eastAsia="Times New Roman" w:hAnsi="Times New Roman" w:cs="Times New Roman"/>
          <w:color w:val="000000"/>
          <w:lang w:val="en-GB"/>
        </w:rPr>
        <w:t xml:space="preserve">. </w:t>
      </w:r>
    </w:p>
    <w:p w14:paraId="35178562" w14:textId="77777777" w:rsidR="00655FC2" w:rsidRPr="00CA54BC" w:rsidRDefault="00655FC2" w:rsidP="00655FC2">
      <w:pPr>
        <w:spacing w:line="360" w:lineRule="auto"/>
        <w:rPr>
          <w:rFonts w:ascii="Times New Roman" w:eastAsia="Times New Roman" w:hAnsi="Times New Roman" w:cs="Times New Roman"/>
          <w:color w:val="000000"/>
          <w:lang w:val="en-GB"/>
        </w:rPr>
      </w:pPr>
    </w:p>
    <w:p w14:paraId="6264C083" w14:textId="4E3A5F78" w:rsidR="00655FC2" w:rsidRPr="00CA54BC" w:rsidRDefault="00655FC2" w:rsidP="00655FC2">
      <w:pPr>
        <w:spacing w:line="360" w:lineRule="auto"/>
        <w:rPr>
          <w:rFonts w:ascii="Times New Roman" w:eastAsia="Times New Roman" w:hAnsi="Times New Roman" w:cs="Times New Roman"/>
          <w:i/>
          <w:color w:val="000000"/>
          <w:u w:val="single"/>
          <w:lang w:val="en-GB"/>
        </w:rPr>
      </w:pPr>
      <w:r w:rsidRPr="00CA54BC">
        <w:rPr>
          <w:rFonts w:ascii="Times New Roman" w:eastAsia="Times New Roman" w:hAnsi="Times New Roman" w:cs="Times New Roman"/>
          <w:i/>
          <w:color w:val="000000"/>
          <w:u w:val="single"/>
          <w:lang w:val="en-GB"/>
        </w:rPr>
        <w:t>Serology</w:t>
      </w:r>
    </w:p>
    <w:p w14:paraId="09DCD614" w14:textId="6AA41DC9" w:rsidR="004946CA" w:rsidRPr="00CA54BC" w:rsidRDefault="004946CA" w:rsidP="00655FC2">
      <w:pPr>
        <w:spacing w:line="360" w:lineRule="auto"/>
        <w:ind w:firstLine="720"/>
        <w:rPr>
          <w:rFonts w:ascii="Times New Roman" w:eastAsia="Times New Roman" w:hAnsi="Times New Roman" w:cs="Times New Roman"/>
          <w:color w:val="000000"/>
          <w:lang w:val="en-GB"/>
        </w:rPr>
        <w:sectPr w:rsidR="004946CA" w:rsidRPr="00CA54BC" w:rsidSect="004946CA">
          <w:pgSz w:w="12240" w:h="15840"/>
          <w:pgMar w:top="1440" w:right="1440" w:bottom="1440" w:left="1474" w:header="708" w:footer="708" w:gutter="0"/>
          <w:pgNumType w:fmt="lowerRoman"/>
          <w:cols w:space="708"/>
          <w:titlePg/>
          <w:docGrid w:linePitch="360"/>
        </w:sectPr>
      </w:pPr>
      <w:r w:rsidRPr="00CA54BC">
        <w:rPr>
          <w:rFonts w:ascii="Times New Roman" w:eastAsia="Times New Roman" w:hAnsi="Times New Roman" w:cs="Times New Roman"/>
          <w:color w:val="000000"/>
          <w:lang w:val="en-GB"/>
        </w:rPr>
        <w:t xml:space="preserve">Thirty seals were young-of-the-year, 10 were juvenile (over one-year-old), 11 were adults, and four were of unknown age. Twenty-six seals were female, 21 were male, and eight were of unknown sex. All tested seals were negative for </w:t>
      </w:r>
      <w:r w:rsidRPr="00CA54BC">
        <w:rPr>
          <w:rFonts w:ascii="Times New Roman" w:eastAsia="Times New Roman" w:hAnsi="Times New Roman" w:cs="Times New Roman"/>
          <w:i/>
          <w:iCs/>
          <w:color w:val="000000"/>
          <w:lang w:val="en-GB"/>
        </w:rPr>
        <w:t xml:space="preserve">Brucella canis, </w:t>
      </w:r>
      <w:r w:rsidRPr="00CA54BC">
        <w:rPr>
          <w:rFonts w:ascii="Times New Roman" w:eastAsia="Times New Roman" w:hAnsi="Times New Roman" w:cs="Times New Roman"/>
          <w:color w:val="000000"/>
          <w:lang w:val="en-GB"/>
        </w:rPr>
        <w:t xml:space="preserve">and 20.5% (nine of 44) were seropositive for </w:t>
      </w:r>
      <w:r w:rsidRPr="00CA54BC">
        <w:rPr>
          <w:rFonts w:ascii="Times New Roman" w:eastAsia="Times New Roman" w:hAnsi="Times New Roman" w:cs="Times New Roman"/>
          <w:i/>
          <w:iCs/>
          <w:color w:val="000000"/>
          <w:lang w:val="en-GB"/>
        </w:rPr>
        <w:t xml:space="preserve">B. abortus. </w:t>
      </w:r>
      <w:r w:rsidRPr="00CA54BC">
        <w:rPr>
          <w:rFonts w:ascii="Times New Roman" w:eastAsia="Times New Roman" w:hAnsi="Times New Roman" w:cs="Times New Roman"/>
          <w:color w:val="000000"/>
          <w:lang w:val="en-GB"/>
        </w:rPr>
        <w:t xml:space="preserve">Of 52 seals tested for </w:t>
      </w:r>
      <w:r w:rsidRPr="00CA54BC">
        <w:rPr>
          <w:rFonts w:ascii="Times New Roman" w:eastAsia="Times New Roman" w:hAnsi="Times New Roman" w:cs="Times New Roman"/>
          <w:i/>
          <w:iCs/>
          <w:color w:val="000000"/>
          <w:lang w:val="en-GB"/>
        </w:rPr>
        <w:t>Erysipelothrix rhusiopathiae (</w:t>
      </w:r>
      <w:r w:rsidRPr="00CA54BC">
        <w:rPr>
          <w:rFonts w:ascii="Times New Roman" w:eastAsia="Times New Roman" w:hAnsi="Times New Roman" w:cs="Times New Roman"/>
          <w:color w:val="000000"/>
          <w:lang w:val="en-GB"/>
        </w:rPr>
        <w:t xml:space="preserve">21%) were seropositive. All tested seals were negative for </w:t>
      </w:r>
      <w:r w:rsidRPr="00CA54BC">
        <w:rPr>
          <w:rFonts w:ascii="Times New Roman" w:eastAsia="Times New Roman" w:hAnsi="Times New Roman" w:cs="Times New Roman"/>
          <w:i/>
          <w:iCs/>
          <w:color w:val="000000"/>
          <w:lang w:val="en-GB"/>
        </w:rPr>
        <w:t xml:space="preserve">Leptospira interrogans </w:t>
      </w:r>
      <w:r w:rsidRPr="00CA54BC">
        <w:rPr>
          <w:rFonts w:ascii="Times New Roman" w:eastAsia="Times New Roman" w:hAnsi="Times New Roman" w:cs="Times New Roman"/>
          <w:color w:val="000000"/>
          <w:lang w:val="en-GB"/>
        </w:rPr>
        <w:t xml:space="preserve">serovars Canicola and Hardjo, with 61.5% (27 of 44) positive for serovar Bratislava, 4.5% (two of 44) for serovar Grippotyphosa, 90.9% (40 of 44) for serovar Icterohaemorrhagiae, and 22.7% (ten of 44) for serovar Pomona. The seroprevalence for </w:t>
      </w:r>
      <w:r w:rsidRPr="00CA54BC">
        <w:rPr>
          <w:rFonts w:ascii="Times New Roman" w:eastAsia="Times New Roman" w:hAnsi="Times New Roman" w:cs="Times New Roman"/>
          <w:i/>
          <w:iCs/>
          <w:color w:val="000000"/>
          <w:lang w:val="en-GB"/>
        </w:rPr>
        <w:t xml:space="preserve">Toxoplasma gondii </w:t>
      </w:r>
      <w:r w:rsidRPr="00CA54BC">
        <w:rPr>
          <w:rFonts w:ascii="Times New Roman" w:eastAsia="Times New Roman" w:hAnsi="Times New Roman" w:cs="Times New Roman"/>
          <w:color w:val="000000"/>
          <w:lang w:val="en-GB"/>
        </w:rPr>
        <w:t xml:space="preserve">was 9.8% (five of 51). All tested samples were negative for </w:t>
      </w:r>
      <w:r w:rsidRPr="00CA54BC">
        <w:rPr>
          <w:rFonts w:ascii="Times New Roman" w:eastAsia="Times New Roman" w:hAnsi="Times New Roman" w:cs="Times New Roman"/>
          <w:i/>
          <w:iCs/>
          <w:color w:val="000000"/>
          <w:lang w:val="en-GB"/>
        </w:rPr>
        <w:t xml:space="preserve">Trichinella. </w:t>
      </w:r>
      <w:r w:rsidRPr="00CA54BC">
        <w:rPr>
          <w:rFonts w:ascii="Times New Roman" w:eastAsia="Times New Roman" w:hAnsi="Times New Roman" w:cs="Times New Roman"/>
          <w:color w:val="000000"/>
          <w:lang w:val="en-GB"/>
        </w:rPr>
        <w:t xml:space="preserve">There were no significant associations between age classes and seroprevalence for all of the serological results. The only significant association between sex and seroprevalence was for </w:t>
      </w:r>
      <w:r w:rsidRPr="00CA54BC">
        <w:rPr>
          <w:rFonts w:ascii="Times New Roman" w:eastAsia="Times New Roman" w:hAnsi="Times New Roman" w:cs="Times New Roman"/>
          <w:i/>
          <w:color w:val="000000"/>
          <w:lang w:val="en-GB"/>
        </w:rPr>
        <w:t xml:space="preserve">Erysipelothrix </w:t>
      </w:r>
      <w:r w:rsidRPr="00CA54BC">
        <w:rPr>
          <w:rFonts w:ascii="Times New Roman" w:eastAsia="Times New Roman" w:hAnsi="Times New Roman" w:cs="Times New Roman"/>
          <w:color w:val="000000"/>
          <w:lang w:val="en-GB"/>
        </w:rPr>
        <w:t>(males &gt; females)</w:t>
      </w:r>
      <w:r w:rsidRPr="00CA54BC">
        <w:rPr>
          <w:rFonts w:ascii="Times New Roman" w:eastAsia="Times New Roman" w:hAnsi="Times New Roman" w:cs="Times New Roman"/>
          <w:i/>
          <w:color w:val="000000"/>
          <w:lang w:val="en-GB"/>
        </w:rPr>
        <w:t xml:space="preserve">; </w:t>
      </w:r>
      <w:r w:rsidRPr="00CA54BC">
        <w:rPr>
          <w:rFonts w:ascii="Times New Roman" w:eastAsia="Times New Roman" w:hAnsi="Times New Roman" w:cs="Times New Roman"/>
          <w:color w:val="000000"/>
          <w:lang w:val="en-GB"/>
        </w:rPr>
        <w:t xml:space="preserve">all others had no significant associations. </w:t>
      </w:r>
    </w:p>
    <w:p w14:paraId="16CA3DA0" w14:textId="77777777" w:rsidR="00BE1162" w:rsidRPr="00CA54BC" w:rsidRDefault="00BE1162" w:rsidP="004946CA">
      <w:pPr>
        <w:spacing w:line="360" w:lineRule="auto"/>
        <w:rPr>
          <w:rFonts w:ascii="Times New Roman" w:hAnsi="Times New Roman" w:cs="Times New Roman"/>
          <w:b/>
          <w:i/>
        </w:rPr>
      </w:pPr>
    </w:p>
    <w:p w14:paraId="34D2CFBB" w14:textId="77777777" w:rsidR="00CA54BC" w:rsidRDefault="00CA54BC" w:rsidP="004946CA">
      <w:pPr>
        <w:spacing w:line="360" w:lineRule="auto"/>
        <w:rPr>
          <w:rFonts w:ascii="Times New Roman" w:hAnsi="Times New Roman" w:cs="Times New Roman"/>
          <w:b/>
          <w:i/>
        </w:rPr>
      </w:pPr>
    </w:p>
    <w:p w14:paraId="1677FDCC" w14:textId="77777777" w:rsidR="00CA54BC" w:rsidRDefault="00CA54BC" w:rsidP="004946CA">
      <w:pPr>
        <w:spacing w:line="360" w:lineRule="auto"/>
        <w:rPr>
          <w:rFonts w:ascii="Times New Roman" w:hAnsi="Times New Roman" w:cs="Times New Roman"/>
          <w:b/>
          <w:i/>
        </w:rPr>
      </w:pPr>
    </w:p>
    <w:p w14:paraId="3A83D6ED" w14:textId="6ED9060E" w:rsidR="00BE1162" w:rsidRPr="00CA54BC" w:rsidRDefault="00BE1162" w:rsidP="004946CA">
      <w:pPr>
        <w:spacing w:line="360" w:lineRule="auto"/>
        <w:rPr>
          <w:rFonts w:ascii="Times New Roman" w:hAnsi="Times New Roman" w:cs="Times New Roman"/>
          <w:b/>
          <w:i/>
        </w:rPr>
      </w:pPr>
      <w:bookmarkStart w:id="0" w:name="_GoBack"/>
      <w:bookmarkEnd w:id="0"/>
      <w:r w:rsidRPr="00CA54BC">
        <w:rPr>
          <w:rFonts w:ascii="Times New Roman" w:hAnsi="Times New Roman" w:cs="Times New Roman"/>
          <w:b/>
          <w:i/>
        </w:rPr>
        <w:t>Discussion and Management Implications</w:t>
      </w:r>
    </w:p>
    <w:p w14:paraId="549A41B7" w14:textId="77777777" w:rsidR="00E22067" w:rsidRPr="00CA54BC" w:rsidRDefault="00E22067" w:rsidP="00E22067">
      <w:pPr>
        <w:spacing w:line="360" w:lineRule="auto"/>
        <w:ind w:firstLine="720"/>
        <w:rPr>
          <w:rFonts w:ascii="Times New Roman" w:hAnsi="Times New Roman" w:cs="Times New Roman"/>
          <w:color w:val="000000"/>
          <w:lang w:val="en-GB"/>
        </w:rPr>
      </w:pPr>
      <w:r w:rsidRPr="00CA54BC">
        <w:rPr>
          <w:rFonts w:ascii="Times New Roman" w:hAnsi="Times New Roman" w:cs="Times New Roman"/>
          <w:color w:val="000000"/>
          <w:lang w:val="en-GB"/>
        </w:rPr>
        <w:t xml:space="preserve">This project had the primary goal of examining nattiq health through quantitative methods, to assess heavy metal content and exposure to important pathogens, and through qualitative methods, by conducting IQ interviews with local hunters. The last two aspects of the project were examined thoroughly in this thesis, while heavy metals were briefly addressed and will be more fully evaluated in further work. The serological survey focussing on the four pathogens, </w:t>
      </w:r>
      <w:r w:rsidRPr="00CA54BC">
        <w:rPr>
          <w:rFonts w:ascii="Times New Roman" w:hAnsi="Times New Roman" w:cs="Times New Roman"/>
          <w:i/>
          <w:iCs/>
          <w:color w:val="000000"/>
          <w:lang w:val="en-GB"/>
        </w:rPr>
        <w:t>Brucella</w:t>
      </w:r>
      <w:r w:rsidRPr="00CA54BC">
        <w:rPr>
          <w:rFonts w:ascii="Times New Roman" w:hAnsi="Times New Roman" w:cs="Times New Roman"/>
          <w:color w:val="000000"/>
          <w:lang w:val="en-GB"/>
        </w:rPr>
        <w:t xml:space="preserve"> spp., </w:t>
      </w:r>
      <w:r w:rsidRPr="00CA54BC">
        <w:rPr>
          <w:rFonts w:ascii="Times New Roman" w:hAnsi="Times New Roman" w:cs="Times New Roman"/>
          <w:i/>
          <w:iCs/>
          <w:color w:val="000000"/>
          <w:lang w:val="en-GB"/>
        </w:rPr>
        <w:t>Erysipelothrix rhusiopathiae</w:t>
      </w:r>
      <w:r w:rsidRPr="00CA54BC">
        <w:rPr>
          <w:rFonts w:ascii="Times New Roman" w:hAnsi="Times New Roman" w:cs="Times New Roman"/>
          <w:color w:val="000000"/>
          <w:lang w:val="en-GB"/>
        </w:rPr>
        <w:t xml:space="preserve">, </w:t>
      </w:r>
      <w:r w:rsidRPr="00CA54BC">
        <w:rPr>
          <w:rFonts w:ascii="Times New Roman" w:hAnsi="Times New Roman" w:cs="Times New Roman"/>
          <w:i/>
          <w:iCs/>
          <w:color w:val="000000"/>
          <w:lang w:val="en-GB"/>
        </w:rPr>
        <w:t>Leptospira interrogans</w:t>
      </w:r>
      <w:r w:rsidRPr="00CA54BC">
        <w:rPr>
          <w:rFonts w:ascii="Times New Roman" w:hAnsi="Times New Roman" w:cs="Times New Roman"/>
          <w:color w:val="000000"/>
          <w:lang w:val="en-GB"/>
        </w:rPr>
        <w:t xml:space="preserve">, and </w:t>
      </w:r>
      <w:r w:rsidRPr="00CA54BC">
        <w:rPr>
          <w:rFonts w:ascii="Times New Roman" w:hAnsi="Times New Roman" w:cs="Times New Roman"/>
          <w:i/>
          <w:iCs/>
          <w:color w:val="000000"/>
          <w:lang w:val="en-GB"/>
        </w:rPr>
        <w:t>Toxoplasma gondii</w:t>
      </w:r>
      <w:r w:rsidRPr="00CA54BC">
        <w:rPr>
          <w:rFonts w:ascii="Times New Roman" w:hAnsi="Times New Roman" w:cs="Times New Roman"/>
          <w:color w:val="000000"/>
          <w:lang w:val="en-GB"/>
        </w:rPr>
        <w:t xml:space="preserve">, was completed. The digestion assay for </w:t>
      </w:r>
      <w:r w:rsidRPr="00CA54BC">
        <w:rPr>
          <w:rFonts w:ascii="Times New Roman" w:hAnsi="Times New Roman" w:cs="Times New Roman"/>
          <w:i/>
          <w:iCs/>
          <w:color w:val="000000"/>
          <w:lang w:val="en-GB"/>
        </w:rPr>
        <w:t>Trichinella</w:t>
      </w:r>
      <w:r w:rsidRPr="00CA54BC">
        <w:rPr>
          <w:rFonts w:ascii="Times New Roman" w:hAnsi="Times New Roman" w:cs="Times New Roman"/>
          <w:color w:val="000000"/>
          <w:lang w:val="en-GB"/>
        </w:rPr>
        <w:t xml:space="preserve"> was also completed, and indicated no presence of the parasite in nattiit of Frobisher Bay. The serological results could indicate several things: 1) high seroprevalence of </w:t>
      </w:r>
      <w:r w:rsidRPr="00CA54BC">
        <w:rPr>
          <w:rFonts w:ascii="Times New Roman" w:hAnsi="Times New Roman" w:cs="Times New Roman"/>
          <w:i/>
          <w:iCs/>
          <w:color w:val="000000"/>
          <w:lang w:val="en-GB"/>
        </w:rPr>
        <w:t>Leptospira interrogans</w:t>
      </w:r>
      <w:r w:rsidRPr="00CA54BC">
        <w:rPr>
          <w:rFonts w:ascii="Times New Roman" w:hAnsi="Times New Roman" w:cs="Times New Roman"/>
          <w:color w:val="000000"/>
          <w:lang w:val="en-GB"/>
        </w:rPr>
        <w:t xml:space="preserve"> serovar Icterohaemorrhagiae (91%) may indicate that nattiit are a maintenance host for this pathogen, and 2) seroprevalence of </w:t>
      </w:r>
      <w:r w:rsidRPr="00CA54BC">
        <w:rPr>
          <w:rFonts w:ascii="Times New Roman" w:hAnsi="Times New Roman" w:cs="Times New Roman"/>
          <w:i/>
          <w:iCs/>
          <w:color w:val="000000"/>
          <w:lang w:val="en-GB"/>
        </w:rPr>
        <w:t>Brucella (</w:t>
      </w:r>
      <w:r w:rsidRPr="00CA54BC">
        <w:rPr>
          <w:rFonts w:ascii="Times New Roman" w:hAnsi="Times New Roman" w:cs="Times New Roman"/>
          <w:color w:val="000000"/>
          <w:lang w:val="en-GB"/>
        </w:rPr>
        <w:t>20.5%)</w:t>
      </w:r>
      <w:r w:rsidRPr="00CA54BC">
        <w:rPr>
          <w:rFonts w:ascii="Times New Roman" w:hAnsi="Times New Roman" w:cs="Times New Roman"/>
          <w:i/>
          <w:iCs/>
          <w:color w:val="000000"/>
          <w:lang w:val="en-GB"/>
        </w:rPr>
        <w:t xml:space="preserve">, E. rhusiopathiae </w:t>
      </w:r>
      <w:r w:rsidRPr="00CA54BC">
        <w:rPr>
          <w:rFonts w:ascii="Times New Roman" w:hAnsi="Times New Roman" w:cs="Times New Roman"/>
          <w:color w:val="000000"/>
          <w:lang w:val="en-GB"/>
        </w:rPr>
        <w:t xml:space="preserve">(21%), and </w:t>
      </w:r>
      <w:r w:rsidRPr="00CA54BC">
        <w:rPr>
          <w:rFonts w:ascii="Times New Roman" w:hAnsi="Times New Roman" w:cs="Times New Roman"/>
          <w:i/>
          <w:iCs/>
          <w:color w:val="000000"/>
          <w:lang w:val="en-GB"/>
        </w:rPr>
        <w:t>Toxoplasma</w:t>
      </w:r>
      <w:r w:rsidRPr="00CA54BC">
        <w:rPr>
          <w:rFonts w:ascii="Times New Roman" w:hAnsi="Times New Roman" w:cs="Times New Roman"/>
          <w:color w:val="000000"/>
          <w:lang w:val="en-GB"/>
        </w:rPr>
        <w:t xml:space="preserve"> (9.8%) may prove to be worth monitoring over the coming years, as the climate changes and new marine species move further north. In future phases of this project, the serological work will be complemented by additional diagnostic approaches, such as PCR and ELISA, which will further clarify current and past infection status of seropositive nattiit. In particular it could be valuable to test specifically for marine strains of </w:t>
      </w:r>
      <w:r w:rsidRPr="00CA54BC">
        <w:rPr>
          <w:rFonts w:ascii="Times New Roman" w:hAnsi="Times New Roman" w:cs="Times New Roman"/>
          <w:i/>
          <w:iCs/>
          <w:color w:val="000000"/>
          <w:lang w:val="en-GB"/>
        </w:rPr>
        <w:t>Brucella</w:t>
      </w:r>
      <w:r w:rsidRPr="00CA54BC">
        <w:rPr>
          <w:rFonts w:ascii="Times New Roman" w:hAnsi="Times New Roman" w:cs="Times New Roman"/>
          <w:color w:val="000000"/>
          <w:lang w:val="en-GB"/>
        </w:rPr>
        <w:t xml:space="preserve">, namely, </w:t>
      </w:r>
      <w:r w:rsidRPr="00CA54BC">
        <w:rPr>
          <w:rFonts w:ascii="Times New Roman" w:hAnsi="Times New Roman" w:cs="Times New Roman"/>
          <w:i/>
          <w:iCs/>
          <w:color w:val="000000"/>
          <w:lang w:val="en-GB"/>
        </w:rPr>
        <w:t>B. pinnipedialis</w:t>
      </w:r>
      <w:r w:rsidRPr="00CA54BC">
        <w:rPr>
          <w:rFonts w:ascii="Times New Roman" w:hAnsi="Times New Roman" w:cs="Times New Roman"/>
          <w:color w:val="000000"/>
          <w:lang w:val="en-GB"/>
        </w:rPr>
        <w:t xml:space="preserve">, which has not been associated with illness in other seals, but merits investigation since the tests used in this study may potentially miss the marine strains. Finally, on going monitoring through future serological surveys could aid in identifying any potential risks or changes in seal health as they occur. </w:t>
      </w:r>
    </w:p>
    <w:p w14:paraId="3CD7FE38" w14:textId="77777777" w:rsidR="00E22067" w:rsidRPr="00CA54BC" w:rsidRDefault="00E22067" w:rsidP="00E22067">
      <w:pPr>
        <w:spacing w:line="360" w:lineRule="auto"/>
        <w:ind w:firstLine="720"/>
        <w:rPr>
          <w:rFonts w:ascii="Times New Roman" w:hAnsi="Times New Roman" w:cs="Times New Roman"/>
          <w:color w:val="000000"/>
          <w:lang w:val="en-GB"/>
        </w:rPr>
      </w:pPr>
      <w:r w:rsidRPr="00CA54BC">
        <w:rPr>
          <w:rFonts w:ascii="Times New Roman" w:hAnsi="Times New Roman" w:cs="Times New Roman"/>
          <w:color w:val="000000"/>
          <w:lang w:val="en-GB"/>
        </w:rPr>
        <w:t xml:space="preserve">Conducting the IQ interviews proved to be extremely valuable in many ways, chief among them being that the community members were involved and aware of the research project while the research was happening. It also gave community members, through experienced hunters, a real, sincere space to voice their concerns and discuss the research they wanted to see done. We saw this through the redirection of research interest from nattiit to the harp seals, which are increasing in number every year. The interviews also provided the link that is often missing from other research conducted on animals that are harvested for country food. Because the methods for processing food, which parts are consumed, and how the seal is consumed, were recorded specifically for nattiit in Iqaluit, we can adjust future nattiq surveys to target potential areas of disease transmission from seal to people, and educate people on identifying signs of illness that may be helpful in identifying subtle or new manifestations of disease. </w:t>
      </w:r>
    </w:p>
    <w:p w14:paraId="2120695C" w14:textId="67D457B5" w:rsidR="00BC7369" w:rsidRPr="00CA54BC" w:rsidRDefault="00E22067" w:rsidP="00CA54BC">
      <w:pPr>
        <w:spacing w:line="360" w:lineRule="auto"/>
        <w:ind w:firstLine="720"/>
        <w:rPr>
          <w:rFonts w:ascii="Times New Roman" w:hAnsi="Times New Roman" w:cs="Times New Roman"/>
        </w:rPr>
      </w:pPr>
      <w:r w:rsidRPr="00CA54BC">
        <w:rPr>
          <w:rFonts w:ascii="Times New Roman" w:hAnsi="Times New Roman" w:cs="Times New Roman"/>
          <w:color w:val="000000"/>
          <w:lang w:val="en-GB"/>
        </w:rPr>
        <w:t>As Inuit continue to harvest nattiit for sustenance of self, culture and community, this study did not identify any major health risks from consuming seals from the waters of Frobisher Bay.</w:t>
      </w:r>
      <w:r w:rsidRPr="00CA54BC">
        <w:rPr>
          <w:rFonts w:ascii="Times New Roman" w:hAnsi="Times New Roman" w:cs="Times New Roman"/>
          <w:color w:val="000000"/>
          <w:lang w:val="en-GB"/>
        </w:rPr>
        <w:br/>
      </w:r>
    </w:p>
    <w:p w14:paraId="3F092CBA" w14:textId="174D7355" w:rsidR="007004D2" w:rsidRPr="00CA54BC" w:rsidRDefault="007004D2" w:rsidP="004946CA">
      <w:pPr>
        <w:spacing w:line="360" w:lineRule="auto"/>
        <w:rPr>
          <w:rFonts w:ascii="Times New Roman" w:hAnsi="Times New Roman" w:cs="Times New Roman"/>
        </w:rPr>
      </w:pPr>
      <w:r w:rsidRPr="00CA54BC">
        <w:rPr>
          <w:rFonts w:ascii="Times New Roman" w:hAnsi="Times New Roman" w:cs="Times New Roman"/>
          <w:b/>
          <w:i/>
        </w:rPr>
        <w:t>Reporting to Communities</w:t>
      </w:r>
      <w:r w:rsidR="000058C8" w:rsidRPr="00CA54BC">
        <w:rPr>
          <w:rFonts w:ascii="Times New Roman" w:hAnsi="Times New Roman" w:cs="Times New Roman"/>
          <w:b/>
          <w:i/>
        </w:rPr>
        <w:t xml:space="preserve">: </w:t>
      </w:r>
      <w:r w:rsidR="00E22067" w:rsidRPr="00CA54BC">
        <w:rPr>
          <w:rFonts w:ascii="Times New Roman" w:hAnsi="Times New Roman" w:cs="Times New Roman"/>
        </w:rPr>
        <w:t>July 2,</w:t>
      </w:r>
      <w:r w:rsidR="00BC7369" w:rsidRPr="00CA54BC">
        <w:rPr>
          <w:rFonts w:ascii="Times New Roman" w:hAnsi="Times New Roman" w:cs="Times New Roman"/>
        </w:rPr>
        <w:t xml:space="preserve"> 2019</w:t>
      </w:r>
      <w:r w:rsidR="000058C8" w:rsidRPr="00CA54BC">
        <w:rPr>
          <w:rFonts w:ascii="Times New Roman" w:hAnsi="Times New Roman" w:cs="Times New Roman"/>
        </w:rPr>
        <w:t xml:space="preserve"> </w:t>
      </w:r>
    </w:p>
    <w:p w14:paraId="71178A8C" w14:textId="77777777" w:rsidR="003B55CE" w:rsidRPr="00CA54BC" w:rsidRDefault="003B55CE" w:rsidP="004946CA">
      <w:pPr>
        <w:spacing w:line="360" w:lineRule="auto"/>
        <w:rPr>
          <w:rFonts w:ascii="Times New Roman" w:hAnsi="Times New Roman" w:cs="Times New Roman"/>
          <w:b/>
          <w:u w:val="single"/>
        </w:rPr>
      </w:pPr>
    </w:p>
    <w:p w14:paraId="5835AA2C" w14:textId="77777777" w:rsidR="00CA54BC" w:rsidRPr="00CA54BC" w:rsidRDefault="00CA54BC" w:rsidP="004946CA">
      <w:pPr>
        <w:spacing w:line="360" w:lineRule="auto"/>
        <w:rPr>
          <w:rFonts w:ascii="Times New Roman" w:hAnsi="Times New Roman" w:cs="Times New Roman"/>
          <w:b/>
          <w:u w:val="single"/>
        </w:rPr>
      </w:pPr>
    </w:p>
    <w:p w14:paraId="2F2B09F5" w14:textId="77777777" w:rsidR="003B55CE" w:rsidRPr="00CA54BC" w:rsidRDefault="00825225" w:rsidP="004946CA">
      <w:pPr>
        <w:spacing w:line="360" w:lineRule="auto"/>
        <w:rPr>
          <w:rFonts w:ascii="Times New Roman" w:hAnsi="Times New Roman" w:cs="Times New Roman"/>
          <w:b/>
          <w:u w:val="single"/>
        </w:rPr>
      </w:pPr>
      <w:r w:rsidRPr="00CA54BC">
        <w:rPr>
          <w:rFonts w:ascii="Times New Roman" w:hAnsi="Times New Roman" w:cs="Times New Roman"/>
          <w:b/>
          <w:u w:val="single"/>
        </w:rPr>
        <w:t>Budget</w:t>
      </w:r>
    </w:p>
    <w:p w14:paraId="2129C177" w14:textId="77777777" w:rsidR="003B55CE" w:rsidRPr="00CA54BC" w:rsidRDefault="003B55CE" w:rsidP="004946CA">
      <w:pPr>
        <w:spacing w:line="36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660"/>
        <w:gridCol w:w="1768"/>
        <w:gridCol w:w="2214"/>
        <w:gridCol w:w="2214"/>
      </w:tblGrid>
      <w:tr w:rsidR="003B55CE" w:rsidRPr="00CA54BC" w14:paraId="0E4A776D" w14:textId="77777777" w:rsidTr="003B55CE">
        <w:tc>
          <w:tcPr>
            <w:tcW w:w="2660" w:type="dxa"/>
          </w:tcPr>
          <w:p w14:paraId="59EFB451" w14:textId="77777777" w:rsidR="003B55CE" w:rsidRPr="00CA54BC" w:rsidRDefault="003B55CE" w:rsidP="004946CA">
            <w:pPr>
              <w:spacing w:line="360" w:lineRule="auto"/>
              <w:rPr>
                <w:rFonts w:ascii="Times New Roman" w:hAnsi="Times New Roman" w:cs="Times New Roman"/>
                <w:b/>
              </w:rPr>
            </w:pPr>
            <w:r w:rsidRPr="00CA54BC">
              <w:rPr>
                <w:rFonts w:ascii="Times New Roman" w:hAnsi="Times New Roman" w:cs="Times New Roman"/>
                <w:b/>
              </w:rPr>
              <w:t>Budget Item</w:t>
            </w:r>
          </w:p>
        </w:tc>
        <w:tc>
          <w:tcPr>
            <w:tcW w:w="1768" w:type="dxa"/>
          </w:tcPr>
          <w:p w14:paraId="5BE56935" w14:textId="77777777" w:rsidR="003B55CE" w:rsidRPr="00CA54BC" w:rsidRDefault="003B55CE" w:rsidP="004946CA">
            <w:pPr>
              <w:spacing w:line="360" w:lineRule="auto"/>
              <w:rPr>
                <w:rFonts w:ascii="Times New Roman" w:hAnsi="Times New Roman" w:cs="Times New Roman"/>
                <w:b/>
              </w:rPr>
            </w:pPr>
            <w:r w:rsidRPr="00CA54BC">
              <w:rPr>
                <w:rFonts w:ascii="Times New Roman" w:hAnsi="Times New Roman" w:cs="Times New Roman"/>
                <w:b/>
              </w:rPr>
              <w:t>Budgeted</w:t>
            </w:r>
          </w:p>
        </w:tc>
        <w:tc>
          <w:tcPr>
            <w:tcW w:w="2214" w:type="dxa"/>
          </w:tcPr>
          <w:p w14:paraId="0B01F1AC" w14:textId="77777777" w:rsidR="003B55CE" w:rsidRPr="00CA54BC" w:rsidRDefault="003B55CE" w:rsidP="004946CA">
            <w:pPr>
              <w:spacing w:line="360" w:lineRule="auto"/>
              <w:rPr>
                <w:rFonts w:ascii="Times New Roman" w:hAnsi="Times New Roman" w:cs="Times New Roman"/>
                <w:b/>
              </w:rPr>
            </w:pPr>
            <w:r w:rsidRPr="00CA54BC">
              <w:rPr>
                <w:rFonts w:ascii="Times New Roman" w:hAnsi="Times New Roman" w:cs="Times New Roman"/>
                <w:b/>
              </w:rPr>
              <w:t>Disbursed</w:t>
            </w:r>
          </w:p>
        </w:tc>
        <w:tc>
          <w:tcPr>
            <w:tcW w:w="2214" w:type="dxa"/>
          </w:tcPr>
          <w:p w14:paraId="64A0F7AC" w14:textId="77777777" w:rsidR="003B55CE" w:rsidRPr="00CA54BC" w:rsidRDefault="003B55CE" w:rsidP="004946CA">
            <w:pPr>
              <w:spacing w:line="360" w:lineRule="auto"/>
              <w:rPr>
                <w:rFonts w:ascii="Times New Roman" w:hAnsi="Times New Roman" w:cs="Times New Roman"/>
                <w:b/>
              </w:rPr>
            </w:pPr>
            <w:r w:rsidRPr="00CA54BC">
              <w:rPr>
                <w:rFonts w:ascii="Times New Roman" w:hAnsi="Times New Roman" w:cs="Times New Roman"/>
                <w:b/>
              </w:rPr>
              <w:t>Variance</w:t>
            </w:r>
          </w:p>
        </w:tc>
      </w:tr>
      <w:tr w:rsidR="003B55CE" w:rsidRPr="00CA54BC" w14:paraId="667976C2" w14:textId="77777777" w:rsidTr="003B55CE">
        <w:tc>
          <w:tcPr>
            <w:tcW w:w="2660" w:type="dxa"/>
          </w:tcPr>
          <w:p w14:paraId="59D44053"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Hunter Honorarium</w:t>
            </w:r>
          </w:p>
        </w:tc>
        <w:tc>
          <w:tcPr>
            <w:tcW w:w="1768" w:type="dxa"/>
          </w:tcPr>
          <w:p w14:paraId="3EB4A50A"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$6000</w:t>
            </w:r>
          </w:p>
        </w:tc>
        <w:tc>
          <w:tcPr>
            <w:tcW w:w="2214" w:type="dxa"/>
          </w:tcPr>
          <w:p w14:paraId="332C5842" w14:textId="77777777" w:rsidR="003B55CE" w:rsidRPr="00CA54BC" w:rsidRDefault="00825225" w:rsidP="004946CA">
            <w:pPr>
              <w:spacing w:line="360" w:lineRule="auto"/>
              <w:rPr>
                <w:rFonts w:ascii="Times New Roman" w:hAnsi="Times New Roman" w:cs="Times New Roman"/>
              </w:rPr>
            </w:pPr>
            <w:r w:rsidRPr="00CA54BC">
              <w:rPr>
                <w:rFonts w:ascii="Times New Roman" w:hAnsi="Times New Roman" w:cs="Times New Roman"/>
              </w:rPr>
              <w:t>$7100</w:t>
            </w:r>
          </w:p>
        </w:tc>
        <w:tc>
          <w:tcPr>
            <w:tcW w:w="2214" w:type="dxa"/>
          </w:tcPr>
          <w:p w14:paraId="4742BDD5" w14:textId="77777777" w:rsidR="003B55CE" w:rsidRPr="00CA54BC" w:rsidRDefault="00825225" w:rsidP="004946CA">
            <w:pPr>
              <w:spacing w:line="360" w:lineRule="auto"/>
              <w:rPr>
                <w:rFonts w:ascii="Times New Roman" w:hAnsi="Times New Roman" w:cs="Times New Roman"/>
              </w:rPr>
            </w:pPr>
            <w:r w:rsidRPr="00CA54BC">
              <w:rPr>
                <w:rFonts w:ascii="Times New Roman" w:hAnsi="Times New Roman" w:cs="Times New Roman"/>
              </w:rPr>
              <w:t>-$1,100</w:t>
            </w:r>
          </w:p>
        </w:tc>
      </w:tr>
      <w:tr w:rsidR="003B55CE" w:rsidRPr="00CA54BC" w14:paraId="4851EA2F" w14:textId="77777777" w:rsidTr="003B55CE">
        <w:tc>
          <w:tcPr>
            <w:tcW w:w="2660" w:type="dxa"/>
          </w:tcPr>
          <w:p w14:paraId="5CCDDD45"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IQ Honorarium</w:t>
            </w:r>
          </w:p>
        </w:tc>
        <w:tc>
          <w:tcPr>
            <w:tcW w:w="1768" w:type="dxa"/>
          </w:tcPr>
          <w:p w14:paraId="60AE9660"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w:t>
            </w:r>
            <w:r w:rsidR="000351DA" w:rsidRPr="00CA54BC">
              <w:rPr>
                <w:rFonts w:ascii="Times New Roman" w:hAnsi="Times New Roman" w:cs="Times New Roman"/>
              </w:rPr>
              <w:t>1000</w:t>
            </w:r>
          </w:p>
        </w:tc>
        <w:tc>
          <w:tcPr>
            <w:tcW w:w="2214" w:type="dxa"/>
          </w:tcPr>
          <w:p w14:paraId="24CBD9D0" w14:textId="56AD27D5" w:rsidR="003B55CE" w:rsidRPr="00CA54BC" w:rsidRDefault="00646DDC" w:rsidP="004946CA">
            <w:pPr>
              <w:spacing w:line="360" w:lineRule="auto"/>
              <w:rPr>
                <w:rFonts w:ascii="Times New Roman" w:hAnsi="Times New Roman" w:cs="Times New Roman"/>
              </w:rPr>
            </w:pPr>
            <w:r w:rsidRPr="00CA54BC">
              <w:rPr>
                <w:rFonts w:ascii="Times New Roman" w:hAnsi="Times New Roman" w:cs="Times New Roman"/>
              </w:rPr>
              <w:t>$7</w:t>
            </w:r>
            <w:r w:rsidR="00825225" w:rsidRPr="00CA54BC">
              <w:rPr>
                <w:rFonts w:ascii="Times New Roman" w:hAnsi="Times New Roman" w:cs="Times New Roman"/>
              </w:rPr>
              <w:t>00</w:t>
            </w:r>
          </w:p>
        </w:tc>
        <w:tc>
          <w:tcPr>
            <w:tcW w:w="2214" w:type="dxa"/>
          </w:tcPr>
          <w:p w14:paraId="3B6FBA7C" w14:textId="3C5429D1" w:rsidR="003B55CE" w:rsidRPr="00CA54BC" w:rsidRDefault="00825225" w:rsidP="00646DDC">
            <w:pPr>
              <w:spacing w:line="360" w:lineRule="auto"/>
              <w:rPr>
                <w:rFonts w:ascii="Times New Roman" w:hAnsi="Times New Roman" w:cs="Times New Roman"/>
              </w:rPr>
            </w:pPr>
            <w:r w:rsidRPr="00CA54BC">
              <w:rPr>
                <w:rFonts w:ascii="Times New Roman" w:hAnsi="Times New Roman" w:cs="Times New Roman"/>
              </w:rPr>
              <w:t>$</w:t>
            </w:r>
            <w:r w:rsidR="008D6A36" w:rsidRPr="00CA54BC">
              <w:rPr>
                <w:rFonts w:ascii="Times New Roman" w:hAnsi="Times New Roman" w:cs="Times New Roman"/>
              </w:rPr>
              <w:t>3</w:t>
            </w:r>
            <w:r w:rsidR="00646DDC" w:rsidRPr="00CA54BC">
              <w:rPr>
                <w:rFonts w:ascii="Times New Roman" w:hAnsi="Times New Roman" w:cs="Times New Roman"/>
              </w:rPr>
              <w:t>00</w:t>
            </w:r>
          </w:p>
        </w:tc>
      </w:tr>
      <w:tr w:rsidR="003B55CE" w:rsidRPr="00CA54BC" w14:paraId="162E4A82" w14:textId="77777777" w:rsidTr="003B55CE">
        <w:tc>
          <w:tcPr>
            <w:tcW w:w="2660" w:type="dxa"/>
          </w:tcPr>
          <w:p w14:paraId="0991DD53"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Shipping samples</w:t>
            </w:r>
          </w:p>
        </w:tc>
        <w:tc>
          <w:tcPr>
            <w:tcW w:w="1768" w:type="dxa"/>
          </w:tcPr>
          <w:p w14:paraId="3BE4813C"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$1000</w:t>
            </w:r>
          </w:p>
        </w:tc>
        <w:tc>
          <w:tcPr>
            <w:tcW w:w="2214" w:type="dxa"/>
          </w:tcPr>
          <w:p w14:paraId="483EAA98" w14:textId="77777777" w:rsidR="003B55CE" w:rsidRPr="00CA54BC" w:rsidRDefault="00825225" w:rsidP="004946CA">
            <w:pPr>
              <w:spacing w:line="360" w:lineRule="auto"/>
              <w:rPr>
                <w:rFonts w:ascii="Times New Roman" w:hAnsi="Times New Roman" w:cs="Times New Roman"/>
              </w:rPr>
            </w:pPr>
            <w:r w:rsidRPr="00CA54BC">
              <w:rPr>
                <w:rFonts w:ascii="Times New Roman" w:hAnsi="Times New Roman" w:cs="Times New Roman"/>
              </w:rPr>
              <w:t>$928.65</w:t>
            </w:r>
          </w:p>
        </w:tc>
        <w:tc>
          <w:tcPr>
            <w:tcW w:w="2214" w:type="dxa"/>
          </w:tcPr>
          <w:p w14:paraId="27237438" w14:textId="77777777" w:rsidR="003B55CE" w:rsidRPr="00CA54BC" w:rsidRDefault="00825225" w:rsidP="004946CA">
            <w:pPr>
              <w:spacing w:line="360" w:lineRule="auto"/>
              <w:rPr>
                <w:rFonts w:ascii="Times New Roman" w:hAnsi="Times New Roman" w:cs="Times New Roman"/>
              </w:rPr>
            </w:pPr>
            <w:r w:rsidRPr="00CA54BC">
              <w:rPr>
                <w:rFonts w:ascii="Times New Roman" w:hAnsi="Times New Roman" w:cs="Times New Roman"/>
              </w:rPr>
              <w:t>$71.35</w:t>
            </w:r>
          </w:p>
        </w:tc>
      </w:tr>
      <w:tr w:rsidR="003B55CE" w:rsidRPr="00CA54BC" w14:paraId="431EC815" w14:textId="77777777" w:rsidTr="003B55CE">
        <w:tc>
          <w:tcPr>
            <w:tcW w:w="2660" w:type="dxa"/>
          </w:tcPr>
          <w:p w14:paraId="08ED1F9E"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Travel</w:t>
            </w:r>
          </w:p>
        </w:tc>
        <w:tc>
          <w:tcPr>
            <w:tcW w:w="1768" w:type="dxa"/>
          </w:tcPr>
          <w:p w14:paraId="0BE2A155" w14:textId="77777777" w:rsidR="003B55CE" w:rsidRPr="00CA54BC" w:rsidRDefault="000351DA" w:rsidP="004946CA">
            <w:pPr>
              <w:spacing w:line="360" w:lineRule="auto"/>
              <w:rPr>
                <w:rFonts w:ascii="Times New Roman" w:hAnsi="Times New Roman" w:cs="Times New Roman"/>
              </w:rPr>
            </w:pPr>
            <w:r w:rsidRPr="00CA54BC">
              <w:rPr>
                <w:rFonts w:ascii="Times New Roman" w:hAnsi="Times New Roman" w:cs="Times New Roman"/>
              </w:rPr>
              <w:t>$4</w:t>
            </w:r>
            <w:r w:rsidR="003B55CE" w:rsidRPr="00CA54BC">
              <w:rPr>
                <w:rFonts w:ascii="Times New Roman" w:hAnsi="Times New Roman" w:cs="Times New Roman"/>
              </w:rPr>
              <w:t>000</w:t>
            </w:r>
          </w:p>
        </w:tc>
        <w:tc>
          <w:tcPr>
            <w:tcW w:w="2214" w:type="dxa"/>
          </w:tcPr>
          <w:p w14:paraId="1053DE72" w14:textId="77777777" w:rsidR="003B55CE" w:rsidRPr="00CA54BC" w:rsidRDefault="00825225" w:rsidP="004946CA">
            <w:pPr>
              <w:spacing w:line="360" w:lineRule="auto"/>
              <w:rPr>
                <w:rFonts w:ascii="Times New Roman" w:hAnsi="Times New Roman" w:cs="Times New Roman"/>
              </w:rPr>
            </w:pPr>
            <w:r w:rsidRPr="00CA54BC">
              <w:rPr>
                <w:rFonts w:ascii="Times New Roman" w:hAnsi="Times New Roman" w:cs="Times New Roman"/>
              </w:rPr>
              <w:t>$3291</w:t>
            </w:r>
          </w:p>
        </w:tc>
        <w:tc>
          <w:tcPr>
            <w:tcW w:w="2214" w:type="dxa"/>
          </w:tcPr>
          <w:p w14:paraId="7C898777" w14:textId="62931D71" w:rsidR="003B55CE" w:rsidRPr="00CA54BC" w:rsidRDefault="00646DDC" w:rsidP="004946CA">
            <w:pPr>
              <w:spacing w:line="360" w:lineRule="auto"/>
              <w:rPr>
                <w:rFonts w:ascii="Times New Roman" w:hAnsi="Times New Roman" w:cs="Times New Roman"/>
              </w:rPr>
            </w:pPr>
            <w:r w:rsidRPr="00CA54BC">
              <w:rPr>
                <w:rFonts w:ascii="Times New Roman" w:hAnsi="Times New Roman" w:cs="Times New Roman"/>
              </w:rPr>
              <w:t>$</w:t>
            </w:r>
            <w:r w:rsidR="00825225" w:rsidRPr="00CA54BC">
              <w:rPr>
                <w:rFonts w:ascii="Times New Roman" w:hAnsi="Times New Roman" w:cs="Times New Roman"/>
              </w:rPr>
              <w:t>709</w:t>
            </w:r>
          </w:p>
        </w:tc>
      </w:tr>
      <w:tr w:rsidR="003B55CE" w:rsidRPr="00CA54BC" w14:paraId="0BA6DDC9" w14:textId="77777777" w:rsidTr="003B55CE">
        <w:tc>
          <w:tcPr>
            <w:tcW w:w="2660" w:type="dxa"/>
          </w:tcPr>
          <w:p w14:paraId="0EEE9E2E"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Training</w:t>
            </w:r>
          </w:p>
        </w:tc>
        <w:tc>
          <w:tcPr>
            <w:tcW w:w="1768" w:type="dxa"/>
          </w:tcPr>
          <w:p w14:paraId="7337084D"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t>$</w:t>
            </w:r>
            <w:r w:rsidR="000351DA" w:rsidRPr="00CA54BC">
              <w:rPr>
                <w:rFonts w:ascii="Times New Roman" w:hAnsi="Times New Roman" w:cs="Times New Roman"/>
              </w:rPr>
              <w:t>3,000</w:t>
            </w:r>
          </w:p>
        </w:tc>
        <w:tc>
          <w:tcPr>
            <w:tcW w:w="2214" w:type="dxa"/>
          </w:tcPr>
          <w:p w14:paraId="214657A7" w14:textId="4DAA66FA" w:rsidR="003B55CE" w:rsidRPr="00CA54BC" w:rsidRDefault="00646DDC" w:rsidP="004946CA">
            <w:pPr>
              <w:spacing w:line="360" w:lineRule="auto"/>
              <w:rPr>
                <w:rFonts w:ascii="Times New Roman" w:hAnsi="Times New Roman" w:cs="Times New Roman"/>
              </w:rPr>
            </w:pPr>
            <w:r w:rsidRPr="00CA54BC">
              <w:rPr>
                <w:rFonts w:ascii="Times New Roman" w:hAnsi="Times New Roman" w:cs="Times New Roman"/>
              </w:rPr>
              <w:t>$29</w:t>
            </w:r>
            <w:r w:rsidR="00825225" w:rsidRPr="00CA54BC">
              <w:rPr>
                <w:rFonts w:ascii="Times New Roman" w:hAnsi="Times New Roman" w:cs="Times New Roman"/>
              </w:rPr>
              <w:t>82</w:t>
            </w:r>
          </w:p>
        </w:tc>
        <w:tc>
          <w:tcPr>
            <w:tcW w:w="2214" w:type="dxa"/>
          </w:tcPr>
          <w:p w14:paraId="229D67E1" w14:textId="20DF9625" w:rsidR="003B55CE" w:rsidRPr="00CA54BC" w:rsidRDefault="00646DDC" w:rsidP="008D6A36">
            <w:pPr>
              <w:spacing w:line="360" w:lineRule="auto"/>
              <w:rPr>
                <w:rFonts w:ascii="Times New Roman" w:hAnsi="Times New Roman" w:cs="Times New Roman"/>
              </w:rPr>
            </w:pPr>
            <w:r w:rsidRPr="00CA54BC">
              <w:rPr>
                <w:rFonts w:ascii="Times New Roman" w:hAnsi="Times New Roman" w:cs="Times New Roman"/>
              </w:rPr>
              <w:t>$</w:t>
            </w:r>
            <w:r w:rsidR="008D6A36" w:rsidRPr="00CA54BC">
              <w:rPr>
                <w:rFonts w:ascii="Times New Roman" w:hAnsi="Times New Roman" w:cs="Times New Roman"/>
              </w:rPr>
              <w:t>12</w:t>
            </w:r>
          </w:p>
        </w:tc>
      </w:tr>
      <w:tr w:rsidR="00825225" w:rsidRPr="00CA54BC" w14:paraId="4CDB0F79" w14:textId="77777777" w:rsidTr="003B55CE">
        <w:tc>
          <w:tcPr>
            <w:tcW w:w="2660" w:type="dxa"/>
          </w:tcPr>
          <w:p w14:paraId="1B972098" w14:textId="77777777" w:rsidR="00825225" w:rsidRPr="00CA54BC" w:rsidRDefault="00825225" w:rsidP="004946CA">
            <w:pPr>
              <w:spacing w:line="360" w:lineRule="auto"/>
              <w:rPr>
                <w:rFonts w:ascii="Times New Roman" w:hAnsi="Times New Roman" w:cs="Times New Roman"/>
              </w:rPr>
            </w:pPr>
            <w:r w:rsidRPr="00CA54BC">
              <w:rPr>
                <w:rFonts w:ascii="Times New Roman" w:hAnsi="Times New Roman" w:cs="Times New Roman"/>
              </w:rPr>
              <w:t>Total</w:t>
            </w:r>
          </w:p>
        </w:tc>
        <w:tc>
          <w:tcPr>
            <w:tcW w:w="1768" w:type="dxa"/>
          </w:tcPr>
          <w:p w14:paraId="0FCA2005" w14:textId="77777777" w:rsidR="00825225" w:rsidRPr="00CA54BC" w:rsidRDefault="000351DA" w:rsidP="004946CA">
            <w:pPr>
              <w:spacing w:line="360" w:lineRule="auto"/>
              <w:rPr>
                <w:rFonts w:ascii="Times New Roman" w:hAnsi="Times New Roman" w:cs="Times New Roman"/>
              </w:rPr>
            </w:pPr>
            <w:r w:rsidRPr="00CA54BC">
              <w:rPr>
                <w:rFonts w:ascii="Times New Roman" w:hAnsi="Times New Roman" w:cs="Times New Roman"/>
              </w:rPr>
              <w:t>$1</w:t>
            </w:r>
            <w:r w:rsidR="00825225" w:rsidRPr="00CA54BC">
              <w:rPr>
                <w:rFonts w:ascii="Times New Roman" w:hAnsi="Times New Roman" w:cs="Times New Roman"/>
              </w:rPr>
              <w:t>5,000</w:t>
            </w:r>
          </w:p>
        </w:tc>
        <w:tc>
          <w:tcPr>
            <w:tcW w:w="2214" w:type="dxa"/>
          </w:tcPr>
          <w:p w14:paraId="583B0727" w14:textId="528B3C1F" w:rsidR="00825225" w:rsidRPr="00CA54BC" w:rsidRDefault="00646DDC" w:rsidP="004946CA">
            <w:pPr>
              <w:spacing w:line="360" w:lineRule="auto"/>
              <w:rPr>
                <w:rFonts w:ascii="Times New Roman" w:hAnsi="Times New Roman" w:cs="Times New Roman"/>
              </w:rPr>
            </w:pPr>
            <w:r w:rsidRPr="00CA54BC">
              <w:rPr>
                <w:rFonts w:ascii="Times New Roman" w:hAnsi="Times New Roman" w:cs="Times New Roman"/>
              </w:rPr>
              <w:t>$15,0</w:t>
            </w:r>
            <w:r w:rsidR="00825225" w:rsidRPr="00CA54BC">
              <w:rPr>
                <w:rFonts w:ascii="Times New Roman" w:hAnsi="Times New Roman" w:cs="Times New Roman"/>
              </w:rPr>
              <w:t>01.65</w:t>
            </w:r>
          </w:p>
        </w:tc>
        <w:tc>
          <w:tcPr>
            <w:tcW w:w="2214" w:type="dxa"/>
          </w:tcPr>
          <w:p w14:paraId="6B8E4ADE" w14:textId="77777777" w:rsidR="00825225" w:rsidRPr="00CA54BC" w:rsidRDefault="00825225" w:rsidP="004946CA">
            <w:pPr>
              <w:spacing w:line="360" w:lineRule="auto"/>
              <w:rPr>
                <w:rFonts w:ascii="Times New Roman" w:hAnsi="Times New Roman" w:cs="Times New Roman"/>
              </w:rPr>
            </w:pPr>
          </w:p>
        </w:tc>
      </w:tr>
    </w:tbl>
    <w:p w14:paraId="0AED734C" w14:textId="77777777" w:rsidR="003B55CE" w:rsidRPr="00CA54BC" w:rsidRDefault="003B55CE" w:rsidP="004946CA">
      <w:pPr>
        <w:spacing w:line="360" w:lineRule="auto"/>
        <w:rPr>
          <w:rFonts w:ascii="Times New Roman" w:hAnsi="Times New Roman" w:cs="Times New Roman"/>
        </w:rPr>
      </w:pPr>
    </w:p>
    <w:p w14:paraId="526CD205" w14:textId="3C8FBFB1" w:rsidR="003B55CE" w:rsidRPr="00CA54BC" w:rsidRDefault="003B55CE" w:rsidP="004946CA">
      <w:pPr>
        <w:spacing w:line="360" w:lineRule="auto"/>
        <w:ind w:firstLine="720"/>
        <w:rPr>
          <w:rFonts w:ascii="Times New Roman" w:hAnsi="Times New Roman" w:cs="Times New Roman"/>
        </w:rPr>
      </w:pPr>
      <w:r w:rsidRPr="00CA54BC">
        <w:rPr>
          <w:rFonts w:ascii="Times New Roman" w:hAnsi="Times New Roman" w:cs="Times New Roman"/>
        </w:rPr>
        <w:t xml:space="preserve">To summarize, </w:t>
      </w:r>
      <w:r w:rsidR="008D6A36" w:rsidRPr="00CA54BC">
        <w:rPr>
          <w:rFonts w:ascii="Times New Roman" w:hAnsi="Times New Roman" w:cs="Times New Roman"/>
        </w:rPr>
        <w:t>all of the allotted funding</w:t>
      </w:r>
      <w:r w:rsidR="00825225" w:rsidRPr="00CA54BC">
        <w:rPr>
          <w:rFonts w:ascii="Times New Roman" w:hAnsi="Times New Roman" w:cs="Times New Roman"/>
        </w:rPr>
        <w:t xml:space="preserve"> has been</w:t>
      </w:r>
      <w:r w:rsidRPr="00CA54BC">
        <w:rPr>
          <w:rFonts w:ascii="Times New Roman" w:hAnsi="Times New Roman" w:cs="Times New Roman"/>
        </w:rPr>
        <w:t xml:space="preserve"> spent since the deposit in </w:t>
      </w:r>
      <w:r w:rsidR="00825225" w:rsidRPr="00CA54BC">
        <w:rPr>
          <w:rFonts w:ascii="Times New Roman" w:hAnsi="Times New Roman" w:cs="Times New Roman"/>
        </w:rPr>
        <w:t>March 2017.</w:t>
      </w:r>
      <w:r w:rsidRPr="00CA54BC">
        <w:rPr>
          <w:rFonts w:ascii="Times New Roman" w:hAnsi="Times New Roman" w:cs="Times New Roman"/>
        </w:rPr>
        <w:t xml:space="preserve"> </w:t>
      </w:r>
      <w:r w:rsidR="000351DA" w:rsidRPr="00CA54BC">
        <w:rPr>
          <w:rFonts w:ascii="Times New Roman" w:hAnsi="Times New Roman" w:cs="Times New Roman"/>
        </w:rPr>
        <w:t xml:space="preserve"> Hunter honoraria went over budget because of our increase in honoraria in the 3</w:t>
      </w:r>
      <w:r w:rsidR="000351DA" w:rsidRPr="00CA54BC">
        <w:rPr>
          <w:rFonts w:ascii="Times New Roman" w:hAnsi="Times New Roman" w:cs="Times New Roman"/>
          <w:vertAlign w:val="superscript"/>
        </w:rPr>
        <w:t>rd</w:t>
      </w:r>
      <w:r w:rsidR="000351DA" w:rsidRPr="00CA54BC">
        <w:rPr>
          <w:rFonts w:ascii="Times New Roman" w:hAnsi="Times New Roman" w:cs="Times New Roman"/>
        </w:rPr>
        <w:t xml:space="preserve"> field season. </w:t>
      </w:r>
      <w:r w:rsidR="00AE090F" w:rsidRPr="00CA54BC">
        <w:rPr>
          <w:rFonts w:ascii="Times New Roman" w:hAnsi="Times New Roman" w:cs="Times New Roman"/>
        </w:rPr>
        <w:t xml:space="preserve">IQ honorarium was under budget because the original plan to do 30 was deemed too many by the MSc committee. Instead, 10 interviews were conducted. </w:t>
      </w:r>
    </w:p>
    <w:p w14:paraId="33C1F87D" w14:textId="77777777" w:rsidR="003B55CE" w:rsidRPr="00CA54BC" w:rsidRDefault="003B55CE" w:rsidP="004946CA">
      <w:pPr>
        <w:spacing w:line="360" w:lineRule="auto"/>
        <w:rPr>
          <w:rFonts w:ascii="Times New Roman" w:hAnsi="Times New Roman" w:cs="Times New Roman"/>
        </w:rPr>
      </w:pPr>
    </w:p>
    <w:p w14:paraId="00F25163" w14:textId="1DCE37A6" w:rsidR="008A75AC" w:rsidRPr="00CA54BC" w:rsidRDefault="008A75AC" w:rsidP="004946CA">
      <w:pPr>
        <w:spacing w:line="360" w:lineRule="auto"/>
        <w:rPr>
          <w:rFonts w:ascii="Times New Roman" w:hAnsi="Times New Roman" w:cs="Times New Roman"/>
          <w:b/>
          <w:u w:val="single"/>
        </w:rPr>
      </w:pPr>
      <w:r w:rsidRPr="00CA54BC">
        <w:rPr>
          <w:rFonts w:ascii="Times New Roman" w:hAnsi="Times New Roman" w:cs="Times New Roman"/>
          <w:b/>
          <w:u w:val="single"/>
        </w:rPr>
        <w:t>Original Contributions</w:t>
      </w:r>
    </w:p>
    <w:tbl>
      <w:tblPr>
        <w:tblStyle w:val="TableGrid"/>
        <w:tblW w:w="0" w:type="auto"/>
        <w:tblLook w:val="04A0" w:firstRow="1" w:lastRow="0" w:firstColumn="1" w:lastColumn="0" w:noHBand="0" w:noVBand="1"/>
      </w:tblPr>
      <w:tblGrid>
        <w:gridCol w:w="4428"/>
        <w:gridCol w:w="4428"/>
      </w:tblGrid>
      <w:tr w:rsidR="008A75AC" w:rsidRPr="00CA54BC" w14:paraId="2E47CB24" w14:textId="77777777" w:rsidTr="008A75AC">
        <w:tc>
          <w:tcPr>
            <w:tcW w:w="4428" w:type="dxa"/>
          </w:tcPr>
          <w:p w14:paraId="6B290640" w14:textId="77777777" w:rsidR="008A75AC" w:rsidRPr="00CA54BC" w:rsidRDefault="008A75AC" w:rsidP="004946CA">
            <w:pPr>
              <w:spacing w:line="360" w:lineRule="auto"/>
              <w:rPr>
                <w:rFonts w:ascii="Times New Roman" w:hAnsi="Times New Roman" w:cs="Times New Roman"/>
                <w:b/>
              </w:rPr>
            </w:pPr>
            <w:r w:rsidRPr="00CA54BC">
              <w:rPr>
                <w:rFonts w:ascii="Times New Roman" w:hAnsi="Times New Roman" w:cs="Times New Roman"/>
                <w:b/>
              </w:rPr>
              <w:t>Contributor</w:t>
            </w:r>
          </w:p>
        </w:tc>
        <w:tc>
          <w:tcPr>
            <w:tcW w:w="4428" w:type="dxa"/>
          </w:tcPr>
          <w:p w14:paraId="1FE1A370" w14:textId="77777777" w:rsidR="008A75AC" w:rsidRPr="00CA54BC" w:rsidRDefault="008A75AC" w:rsidP="004946CA">
            <w:pPr>
              <w:spacing w:line="360" w:lineRule="auto"/>
              <w:rPr>
                <w:rFonts w:ascii="Times New Roman" w:hAnsi="Times New Roman" w:cs="Times New Roman"/>
                <w:b/>
              </w:rPr>
            </w:pPr>
            <w:r w:rsidRPr="00CA54BC">
              <w:rPr>
                <w:rFonts w:ascii="Times New Roman" w:hAnsi="Times New Roman" w:cs="Times New Roman"/>
                <w:b/>
              </w:rPr>
              <w:t>Funds</w:t>
            </w:r>
          </w:p>
        </w:tc>
      </w:tr>
      <w:tr w:rsidR="008A75AC" w:rsidRPr="00CA54BC" w14:paraId="048ECC4F" w14:textId="77777777" w:rsidTr="008A75AC">
        <w:tc>
          <w:tcPr>
            <w:tcW w:w="4428" w:type="dxa"/>
          </w:tcPr>
          <w:p w14:paraId="1348FA8C" w14:textId="77777777" w:rsidR="008A75AC" w:rsidRPr="00CA54BC" w:rsidRDefault="008A75AC" w:rsidP="004946CA">
            <w:pPr>
              <w:spacing w:line="360" w:lineRule="auto"/>
              <w:rPr>
                <w:rFonts w:ascii="Times New Roman" w:hAnsi="Times New Roman" w:cs="Times New Roman"/>
              </w:rPr>
            </w:pPr>
            <w:proofErr w:type="spellStart"/>
            <w:r w:rsidRPr="00CA54BC">
              <w:rPr>
                <w:rFonts w:ascii="Times New Roman" w:hAnsi="Times New Roman" w:cs="Times New Roman"/>
              </w:rPr>
              <w:t>CanNor</w:t>
            </w:r>
            <w:proofErr w:type="spellEnd"/>
          </w:p>
        </w:tc>
        <w:tc>
          <w:tcPr>
            <w:tcW w:w="4428" w:type="dxa"/>
          </w:tcPr>
          <w:p w14:paraId="71C097DC"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$44,500</w:t>
            </w:r>
          </w:p>
        </w:tc>
      </w:tr>
      <w:tr w:rsidR="008A75AC" w:rsidRPr="00CA54BC" w14:paraId="5927D8EC" w14:textId="77777777" w:rsidTr="008A75AC">
        <w:tc>
          <w:tcPr>
            <w:tcW w:w="4428" w:type="dxa"/>
          </w:tcPr>
          <w:p w14:paraId="7540B010"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CWHC</w:t>
            </w:r>
          </w:p>
        </w:tc>
        <w:tc>
          <w:tcPr>
            <w:tcW w:w="4428" w:type="dxa"/>
          </w:tcPr>
          <w:p w14:paraId="4DAF4CF3"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$25,000</w:t>
            </w:r>
          </w:p>
        </w:tc>
      </w:tr>
      <w:tr w:rsidR="008A75AC" w:rsidRPr="00CA54BC" w14:paraId="1F27F8B9" w14:textId="77777777" w:rsidTr="008A75AC">
        <w:tc>
          <w:tcPr>
            <w:tcW w:w="4428" w:type="dxa"/>
          </w:tcPr>
          <w:p w14:paraId="68B9BCFC"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Person Years</w:t>
            </w:r>
          </w:p>
        </w:tc>
        <w:tc>
          <w:tcPr>
            <w:tcW w:w="4428" w:type="dxa"/>
          </w:tcPr>
          <w:p w14:paraId="3893F4ED"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3 (2 for Enooyaq, 1 for Pierre-Yves)</w:t>
            </w:r>
          </w:p>
        </w:tc>
      </w:tr>
      <w:tr w:rsidR="008A75AC" w:rsidRPr="00CA54BC" w14:paraId="769E3C58" w14:textId="77777777" w:rsidTr="008A75AC">
        <w:tc>
          <w:tcPr>
            <w:tcW w:w="4428" w:type="dxa"/>
          </w:tcPr>
          <w:p w14:paraId="5B7D95C4"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NWMB</w:t>
            </w:r>
          </w:p>
        </w:tc>
        <w:tc>
          <w:tcPr>
            <w:tcW w:w="4428" w:type="dxa"/>
          </w:tcPr>
          <w:p w14:paraId="7BE761C2" w14:textId="77777777" w:rsidR="008A75AC" w:rsidRPr="00CA54BC" w:rsidRDefault="000351DA" w:rsidP="004946CA">
            <w:pPr>
              <w:spacing w:line="360" w:lineRule="auto"/>
              <w:rPr>
                <w:rFonts w:ascii="Times New Roman" w:hAnsi="Times New Roman" w:cs="Times New Roman"/>
              </w:rPr>
            </w:pPr>
            <w:r w:rsidRPr="00CA54BC">
              <w:rPr>
                <w:rFonts w:ascii="Times New Roman" w:hAnsi="Times New Roman" w:cs="Times New Roman"/>
              </w:rPr>
              <w:t>$15,000</w:t>
            </w:r>
          </w:p>
        </w:tc>
      </w:tr>
      <w:tr w:rsidR="008A75AC" w:rsidRPr="00CA54BC" w14:paraId="454F2F72" w14:textId="77777777" w:rsidTr="008A75AC">
        <w:tc>
          <w:tcPr>
            <w:tcW w:w="4428" w:type="dxa"/>
          </w:tcPr>
          <w:p w14:paraId="2F7DF953"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Nunavut Arctic College</w:t>
            </w:r>
          </w:p>
        </w:tc>
        <w:tc>
          <w:tcPr>
            <w:tcW w:w="4428" w:type="dxa"/>
          </w:tcPr>
          <w:p w14:paraId="0ED2BAA6" w14:textId="77777777" w:rsidR="008A75AC" w:rsidRPr="00CA54BC" w:rsidRDefault="000351DA" w:rsidP="004946CA">
            <w:pPr>
              <w:spacing w:line="360" w:lineRule="auto"/>
              <w:rPr>
                <w:rFonts w:ascii="Times New Roman" w:hAnsi="Times New Roman" w:cs="Times New Roman"/>
              </w:rPr>
            </w:pPr>
            <w:r w:rsidRPr="00CA54BC">
              <w:rPr>
                <w:rFonts w:ascii="Times New Roman" w:hAnsi="Times New Roman" w:cs="Times New Roman"/>
              </w:rPr>
              <w:t>In Kind</w:t>
            </w:r>
          </w:p>
        </w:tc>
      </w:tr>
    </w:tbl>
    <w:p w14:paraId="09DC0AA6" w14:textId="77777777" w:rsidR="008A75AC" w:rsidRPr="00CA54BC" w:rsidRDefault="008A75AC" w:rsidP="004946CA">
      <w:pPr>
        <w:spacing w:line="360" w:lineRule="auto"/>
        <w:rPr>
          <w:rFonts w:ascii="Times New Roman" w:hAnsi="Times New Roman" w:cs="Times New Roman"/>
        </w:rPr>
      </w:pPr>
    </w:p>
    <w:p w14:paraId="3553BEDB" w14:textId="3DF268D4" w:rsidR="003D5A8A" w:rsidRPr="00CA54BC" w:rsidRDefault="00A61E95" w:rsidP="004946CA">
      <w:pPr>
        <w:spacing w:line="360" w:lineRule="auto"/>
        <w:rPr>
          <w:rFonts w:ascii="Times New Roman" w:hAnsi="Times New Roman" w:cs="Times New Roman"/>
        </w:rPr>
      </w:pPr>
      <w:r w:rsidRPr="00CA54BC">
        <w:rPr>
          <w:rFonts w:ascii="Times New Roman" w:hAnsi="Times New Roman" w:cs="Times New Roman"/>
        </w:rPr>
        <w:t xml:space="preserve">Additional </w:t>
      </w:r>
      <w:r w:rsidR="00791CDF" w:rsidRPr="00CA54BC">
        <w:rPr>
          <w:rFonts w:ascii="Times New Roman" w:hAnsi="Times New Roman" w:cs="Times New Roman"/>
        </w:rPr>
        <w:t>contributor</w:t>
      </w:r>
      <w:r w:rsidRPr="00CA54BC">
        <w:rPr>
          <w:rFonts w:ascii="Times New Roman" w:hAnsi="Times New Roman" w:cs="Times New Roman"/>
        </w:rPr>
        <w:t xml:space="preserve">: Department of Fisheries and Oceans Canada. DFO will be providing funding for </w:t>
      </w:r>
      <w:proofErr w:type="spellStart"/>
      <w:r w:rsidRPr="00CA54BC">
        <w:rPr>
          <w:rFonts w:ascii="Times New Roman" w:hAnsi="Times New Roman" w:cs="Times New Roman"/>
        </w:rPr>
        <w:t>Enooyaq’s</w:t>
      </w:r>
      <w:proofErr w:type="spellEnd"/>
      <w:r w:rsidRPr="00CA54BC">
        <w:rPr>
          <w:rFonts w:ascii="Times New Roman" w:hAnsi="Times New Roman" w:cs="Times New Roman"/>
        </w:rPr>
        <w:t xml:space="preserve"> second year stipend ($25,000), for further analysis of heavy metals, including mercury ($5000), and additional travel </w:t>
      </w:r>
      <w:r w:rsidR="00791CDF" w:rsidRPr="00CA54BC">
        <w:rPr>
          <w:rFonts w:ascii="Times New Roman" w:hAnsi="Times New Roman" w:cs="Times New Roman"/>
        </w:rPr>
        <w:t>to Iqaluit (TBD).</w:t>
      </w:r>
    </w:p>
    <w:p w14:paraId="68CD9CA4" w14:textId="77777777" w:rsidR="003D5A8A" w:rsidRPr="00CA54BC" w:rsidRDefault="003D5A8A" w:rsidP="004946CA">
      <w:pPr>
        <w:spacing w:line="360" w:lineRule="auto"/>
        <w:rPr>
          <w:rFonts w:ascii="Times New Roman" w:hAnsi="Times New Roman" w:cs="Times New Roman"/>
        </w:rPr>
      </w:pPr>
    </w:p>
    <w:p w14:paraId="59913ACD" w14:textId="77777777" w:rsidR="008A75AC" w:rsidRPr="00CA54BC" w:rsidRDefault="008A75AC" w:rsidP="004946CA">
      <w:pPr>
        <w:spacing w:line="360" w:lineRule="auto"/>
        <w:rPr>
          <w:rFonts w:ascii="Times New Roman" w:hAnsi="Times New Roman" w:cs="Times New Roman"/>
        </w:rPr>
      </w:pPr>
      <w:r w:rsidRPr="00CA54BC">
        <w:rPr>
          <w:rFonts w:ascii="Times New Roman" w:hAnsi="Times New Roman" w:cs="Times New Roman"/>
        </w:rPr>
        <w:t>I certify that this is an accurate statement of the Board project funds received and disbursed in accordance with the joint contribution agreement.</w:t>
      </w:r>
    </w:p>
    <w:p w14:paraId="3389A2AA" w14:textId="77777777" w:rsidR="008A75AC" w:rsidRPr="00CA54BC" w:rsidRDefault="008A75AC" w:rsidP="004946CA">
      <w:pPr>
        <w:spacing w:line="360" w:lineRule="auto"/>
        <w:rPr>
          <w:rFonts w:ascii="Times New Roman" w:hAnsi="Times New Roman" w:cs="Times New Roman"/>
        </w:rPr>
      </w:pPr>
    </w:p>
    <w:p w14:paraId="42322594" w14:textId="732A78BD" w:rsidR="003B55CE" w:rsidRPr="00CA54BC" w:rsidRDefault="00AE090F" w:rsidP="004946CA">
      <w:pPr>
        <w:spacing w:line="360" w:lineRule="auto"/>
        <w:rPr>
          <w:rFonts w:ascii="Times New Roman" w:hAnsi="Times New Roman" w:cs="Times New Roman"/>
        </w:rPr>
      </w:pPr>
      <w:r w:rsidRPr="00CA54BC">
        <w:rPr>
          <w:rFonts w:ascii="Times New Roman" w:hAnsi="Times New Roman" w:cs="Times New Roman"/>
        </w:rPr>
        <w:br/>
      </w:r>
    </w:p>
    <w:p w14:paraId="18D88618" w14:textId="77777777" w:rsidR="003B55CE" w:rsidRPr="00CA54BC" w:rsidRDefault="003B55CE" w:rsidP="004946CA">
      <w:pPr>
        <w:spacing w:line="360" w:lineRule="auto"/>
        <w:rPr>
          <w:rFonts w:ascii="Times New Roman" w:hAnsi="Times New Roman" w:cs="Times New Roman"/>
        </w:rPr>
      </w:pPr>
      <w:r w:rsidRPr="00CA54BC">
        <w:rPr>
          <w:rFonts w:ascii="Times New Roman" w:hAnsi="Times New Roman" w:cs="Times New Roman"/>
        </w:rPr>
        <w:br/>
        <w:t>Enooyaq Sudlovenick</w:t>
      </w:r>
    </w:p>
    <w:sectPr w:rsidR="003B55CE" w:rsidRPr="00CA54BC" w:rsidSect="004946CA">
      <w:type w:val="continuous"/>
      <w:pgSz w:w="12240" w:h="15840"/>
      <w:pgMar w:top="1440" w:right="1440" w:bottom="1440"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6607"/>
    <w:multiLevelType w:val="hybridMultilevel"/>
    <w:tmpl w:val="726C0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8A60A0"/>
    <w:multiLevelType w:val="hybridMultilevel"/>
    <w:tmpl w:val="4D2A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CE"/>
    <w:rsid w:val="000058C8"/>
    <w:rsid w:val="000351DA"/>
    <w:rsid w:val="00040F59"/>
    <w:rsid w:val="00120CB9"/>
    <w:rsid w:val="00237D6B"/>
    <w:rsid w:val="002513D3"/>
    <w:rsid w:val="0028557A"/>
    <w:rsid w:val="00290B7E"/>
    <w:rsid w:val="003B55CE"/>
    <w:rsid w:val="003D5A8A"/>
    <w:rsid w:val="0046426B"/>
    <w:rsid w:val="004946CA"/>
    <w:rsid w:val="00646DDC"/>
    <w:rsid w:val="00655FC2"/>
    <w:rsid w:val="007004D2"/>
    <w:rsid w:val="00791CDF"/>
    <w:rsid w:val="00825225"/>
    <w:rsid w:val="008A75AC"/>
    <w:rsid w:val="008D6A36"/>
    <w:rsid w:val="00963215"/>
    <w:rsid w:val="00A61E95"/>
    <w:rsid w:val="00AE090F"/>
    <w:rsid w:val="00BC7369"/>
    <w:rsid w:val="00BE1162"/>
    <w:rsid w:val="00CA54BC"/>
    <w:rsid w:val="00E15F60"/>
    <w:rsid w:val="00E22067"/>
    <w:rsid w:val="00EB318E"/>
    <w:rsid w:val="00EC02BB"/>
    <w:rsid w:val="00FE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D2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CE"/>
    <w:pPr>
      <w:ind w:left="720"/>
      <w:contextualSpacing/>
    </w:pPr>
  </w:style>
  <w:style w:type="table" w:styleId="MediumGrid3-Accent5">
    <w:name w:val="Medium Grid 3 Accent 5"/>
    <w:basedOn w:val="TableNormal"/>
    <w:uiPriority w:val="69"/>
    <w:rsid w:val="003B55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1-Accent5">
    <w:name w:val="Medium List 1 Accent 5"/>
    <w:basedOn w:val="TableNormal"/>
    <w:uiPriority w:val="65"/>
    <w:rsid w:val="003B55C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
    <w:name w:val="Medium List 2"/>
    <w:basedOn w:val="TableNormal"/>
    <w:uiPriority w:val="66"/>
    <w:rsid w:val="003B55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3B55C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3B55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3B55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B55C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3B55C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3B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3B55C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BC7369"/>
    <w:pPr>
      <w:spacing w:before="100" w:beforeAutospacing="1" w:after="100" w:afterAutospacing="1"/>
    </w:pPr>
    <w:rPr>
      <w:rFonts w:ascii="Times New Roman" w:hAnsi="Times New Roman" w:cs="Times New Roman"/>
      <w:sz w:val="20"/>
      <w:szCs w:val="20"/>
      <w:lang w:val="en-GB"/>
    </w:rPr>
  </w:style>
  <w:style w:type="character" w:customStyle="1" w:styleId="apple-tab-span">
    <w:name w:val="apple-tab-span"/>
    <w:basedOn w:val="DefaultParagraphFont"/>
    <w:rsid w:val="00BC7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5CE"/>
    <w:pPr>
      <w:ind w:left="720"/>
      <w:contextualSpacing/>
    </w:pPr>
  </w:style>
  <w:style w:type="table" w:styleId="MediumGrid3-Accent5">
    <w:name w:val="Medium Grid 3 Accent 5"/>
    <w:basedOn w:val="TableNormal"/>
    <w:uiPriority w:val="69"/>
    <w:rsid w:val="003B55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1-Accent5">
    <w:name w:val="Medium List 1 Accent 5"/>
    <w:basedOn w:val="TableNormal"/>
    <w:uiPriority w:val="65"/>
    <w:rsid w:val="003B55C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
    <w:name w:val="Medium List 2"/>
    <w:basedOn w:val="TableNormal"/>
    <w:uiPriority w:val="66"/>
    <w:rsid w:val="003B55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3B55C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3B55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3B55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B55C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5">
    <w:name w:val="Medium Shading 1 Accent 5"/>
    <w:basedOn w:val="TableNormal"/>
    <w:uiPriority w:val="63"/>
    <w:rsid w:val="003B55C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3B5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3B55C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BC7369"/>
    <w:pPr>
      <w:spacing w:before="100" w:beforeAutospacing="1" w:after="100" w:afterAutospacing="1"/>
    </w:pPr>
    <w:rPr>
      <w:rFonts w:ascii="Times New Roman" w:hAnsi="Times New Roman" w:cs="Times New Roman"/>
      <w:sz w:val="20"/>
      <w:szCs w:val="20"/>
      <w:lang w:val="en-GB"/>
    </w:rPr>
  </w:style>
  <w:style w:type="character" w:customStyle="1" w:styleId="apple-tab-span">
    <w:name w:val="apple-tab-span"/>
    <w:basedOn w:val="DefaultParagraphFont"/>
    <w:rsid w:val="00BC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2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1742</Words>
  <Characters>9931</Characters>
  <Application>Microsoft Macintosh Word</Application>
  <DocSecurity>0</DocSecurity>
  <Lines>82</Lines>
  <Paragraphs>23</Paragraphs>
  <ScaleCrop>false</ScaleCrop>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Enooyaq Sudlovenick</dc:creator>
  <cp:keywords/>
  <dc:description/>
  <cp:lastModifiedBy>Enooyaq Sudlovenick</cp:lastModifiedBy>
  <cp:revision>10</cp:revision>
  <dcterms:created xsi:type="dcterms:W3CDTF">2019-06-25T16:46:00Z</dcterms:created>
  <dcterms:modified xsi:type="dcterms:W3CDTF">2019-06-30T16:51:00Z</dcterms:modified>
</cp:coreProperties>
</file>